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2F223F" w:rsidP="0011125B">
      <w:pPr>
        <w:spacing w:after="0" w:line="240" w:lineRule="auto"/>
        <w:jc w:val="center"/>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t>2021</w:t>
      </w:r>
      <w:r w:rsidR="007F1F49">
        <w:rPr>
          <w:rFonts w:ascii="Times New Roman" w:hAnsi="Times New Roman" w:cs="Times New Roman"/>
          <w:b/>
          <w:color w:val="C00000"/>
          <w:sz w:val="24"/>
          <w:szCs w:val="24"/>
          <w:lang w:val="tr-TR"/>
        </w:rPr>
        <w:t xml:space="preserve"> YILI </w:t>
      </w:r>
      <w:r>
        <w:rPr>
          <w:rFonts w:ascii="Times New Roman" w:hAnsi="Times New Roman" w:cs="Times New Roman"/>
          <w:b/>
          <w:color w:val="C00000"/>
          <w:sz w:val="24"/>
          <w:szCs w:val="24"/>
          <w:lang w:val="tr-TR"/>
        </w:rPr>
        <w:t>İKİNCİ</w:t>
      </w:r>
      <w:r w:rsidR="002F27D9">
        <w:rPr>
          <w:rFonts w:ascii="Times New Roman" w:hAnsi="Times New Roman" w:cs="Times New Roman"/>
          <w:b/>
          <w:color w:val="C00000"/>
          <w:sz w:val="24"/>
          <w:szCs w:val="24"/>
          <w:lang w:val="tr-TR"/>
        </w:rPr>
        <w:t xml:space="preserve"> </w:t>
      </w:r>
      <w:r w:rsidR="00CC1EFA">
        <w:rPr>
          <w:rFonts w:ascii="Times New Roman" w:hAnsi="Times New Roman" w:cs="Times New Roman"/>
          <w:b/>
          <w:color w:val="C00000"/>
          <w:sz w:val="24"/>
          <w:szCs w:val="24"/>
          <w:lang w:val="tr-TR"/>
        </w:rPr>
        <w:t xml:space="preserve">ÜÇ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E06E3B" w:rsidRDefault="00E06E3B" w:rsidP="0011125B">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390EAF" w:rsidRDefault="00390EAF" w:rsidP="0011125B">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Bakanlığımızca,  söz konusu koordinasyon görevi kapsamında, 2009 yılından bu yana her sene PGD kuruluşlarının bir önceki yıla ait denetim istatistikleri derlenerek, PGD'nin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390EAF" w:rsidRDefault="00390EAF"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390EAF"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w:t>
      </w:r>
      <w:r w:rsidR="00002193">
        <w:rPr>
          <w:rFonts w:ascii="Times New Roman" w:hAnsi="Times New Roman" w:cs="Times New Roman"/>
          <w:sz w:val="24"/>
          <w:szCs w:val="24"/>
          <w:lang w:val="tr-TR"/>
        </w:rPr>
        <w:t>u raporda</w:t>
      </w:r>
      <w:r w:rsidR="00873A82" w:rsidRPr="0011125B">
        <w:rPr>
          <w:rFonts w:ascii="Times New Roman" w:hAnsi="Times New Roman" w:cs="Times New Roman"/>
          <w:sz w:val="24"/>
          <w:szCs w:val="24"/>
          <w:lang w:val="tr-TR"/>
        </w:rPr>
        <w:t>, Sağlık Bakanlığı</w:t>
      </w:r>
      <w:r w:rsidR="006B09BD">
        <w:rPr>
          <w:rFonts w:ascii="Times New Roman" w:hAnsi="Times New Roman" w:cs="Times New Roman"/>
          <w:sz w:val="24"/>
          <w:szCs w:val="24"/>
          <w:lang w:val="tr-TR"/>
        </w:rPr>
        <w:t xml:space="preserve"> (SB)</w:t>
      </w:r>
      <w:r w:rsidR="00FB1EE5">
        <w:rPr>
          <w:rFonts w:ascii="Times New Roman" w:hAnsi="Times New Roman" w:cs="Times New Roman"/>
          <w:sz w:val="24"/>
          <w:szCs w:val="24"/>
          <w:lang w:val="tr-TR"/>
        </w:rPr>
        <w:t xml:space="preserve"> (</w:t>
      </w:r>
      <w:r w:rsidR="00753B3E">
        <w:rPr>
          <w:rFonts w:ascii="Times New Roman" w:hAnsi="Times New Roman" w:cs="Times New Roman"/>
          <w:sz w:val="24"/>
          <w:szCs w:val="24"/>
          <w:lang w:val="tr-TR"/>
        </w:rPr>
        <w:t>biyosidal ürünler</w:t>
      </w:r>
      <w:r w:rsidR="00FB1EE5">
        <w:rPr>
          <w:rFonts w:ascii="Times New Roman" w:hAnsi="Times New Roman" w:cs="Times New Roman"/>
          <w:sz w:val="24"/>
          <w:szCs w:val="24"/>
          <w:lang w:val="tr-TR"/>
        </w:rPr>
        <w:t>)</w:t>
      </w:r>
      <w:r w:rsidR="00C97C88">
        <w:rPr>
          <w:rFonts w:ascii="Times New Roman" w:hAnsi="Times New Roman" w:cs="Times New Roman"/>
          <w:sz w:val="24"/>
          <w:szCs w:val="24"/>
          <w:lang w:val="tr-TR"/>
        </w:rPr>
        <w:t>, Çalışma ve Sosyal Güvenlik Bakanlığı (ÇSG</w:t>
      </w:r>
      <w:r w:rsidR="008B2B4E">
        <w:rPr>
          <w:rFonts w:ascii="Times New Roman" w:hAnsi="Times New Roman" w:cs="Times New Roman"/>
          <w:sz w:val="24"/>
          <w:szCs w:val="24"/>
          <w:lang w:val="tr-TR"/>
        </w:rPr>
        <w:t>B)</w:t>
      </w:r>
      <w:r w:rsidR="00753B3E">
        <w:rPr>
          <w:rFonts w:ascii="Times New Roman" w:hAnsi="Times New Roman" w:cs="Times New Roman"/>
          <w:sz w:val="24"/>
          <w:szCs w:val="24"/>
          <w:lang w:val="tr-TR"/>
        </w:rPr>
        <w:t xml:space="preserve"> (kişisel koruyucu donanımlar)</w:t>
      </w:r>
      <w:r w:rsidR="008B2B4E">
        <w:rPr>
          <w:rFonts w:ascii="Times New Roman" w:hAnsi="Times New Roman" w:cs="Times New Roman"/>
          <w:sz w:val="24"/>
          <w:szCs w:val="24"/>
          <w:lang w:val="tr-TR"/>
        </w:rPr>
        <w:t xml:space="preserve">, </w:t>
      </w:r>
      <w:r w:rsidR="00753B3E">
        <w:rPr>
          <w:rFonts w:ascii="Times New Roman" w:hAnsi="Times New Roman" w:cs="Times New Roman"/>
          <w:sz w:val="24"/>
          <w:szCs w:val="24"/>
          <w:lang w:val="tr-TR"/>
        </w:rPr>
        <w:t>Tarım ve Orman Bakanlığı</w:t>
      </w:r>
      <w:r w:rsidR="008517F7">
        <w:rPr>
          <w:rFonts w:ascii="Times New Roman" w:hAnsi="Times New Roman" w:cs="Times New Roman"/>
          <w:sz w:val="24"/>
          <w:szCs w:val="24"/>
          <w:lang w:val="tr-TR"/>
        </w:rPr>
        <w:t xml:space="preserve"> (TOB)</w:t>
      </w:r>
      <w:r w:rsidR="00753B3E">
        <w:rPr>
          <w:rFonts w:ascii="Times New Roman" w:hAnsi="Times New Roman" w:cs="Times New Roman"/>
          <w:sz w:val="24"/>
          <w:szCs w:val="24"/>
          <w:lang w:val="tr-TR"/>
        </w:rPr>
        <w:t xml:space="preserve"> (kimyevi ve organik gübreler), Çevre ve Şehircilik Bakanlığı</w:t>
      </w:r>
      <w:r w:rsidR="008517F7">
        <w:rPr>
          <w:rFonts w:ascii="Times New Roman" w:hAnsi="Times New Roman" w:cs="Times New Roman"/>
          <w:sz w:val="24"/>
          <w:szCs w:val="24"/>
          <w:lang w:val="tr-TR"/>
        </w:rPr>
        <w:t xml:space="preserve"> (ÇŞB)</w:t>
      </w:r>
      <w:r w:rsidR="00753B3E">
        <w:rPr>
          <w:rFonts w:ascii="Times New Roman" w:hAnsi="Times New Roman" w:cs="Times New Roman"/>
          <w:sz w:val="24"/>
          <w:szCs w:val="24"/>
          <w:lang w:val="tr-TR"/>
        </w:rPr>
        <w:t xml:space="preserve"> (yapı malzemeleri)</w:t>
      </w:r>
      <w:r w:rsidR="00833D4E">
        <w:rPr>
          <w:rFonts w:ascii="Times New Roman" w:hAnsi="Times New Roman" w:cs="Times New Roman"/>
          <w:sz w:val="24"/>
          <w:szCs w:val="24"/>
          <w:lang w:val="tr-TR"/>
        </w:rPr>
        <w:t xml:space="preserve"> ile</w:t>
      </w:r>
      <w:r w:rsidR="00FB1EE5">
        <w:rPr>
          <w:rFonts w:ascii="Times New Roman" w:hAnsi="Times New Roman" w:cs="Times New Roman"/>
          <w:sz w:val="24"/>
          <w:szCs w:val="24"/>
          <w:lang w:val="tr-TR"/>
        </w:rPr>
        <w:t xml:space="preserve"> </w:t>
      </w:r>
      <w:r w:rsidR="008B2B4E">
        <w:rPr>
          <w:rFonts w:ascii="Times New Roman" w:hAnsi="Times New Roman" w:cs="Times New Roman"/>
          <w:sz w:val="24"/>
          <w:szCs w:val="24"/>
          <w:lang w:val="tr-TR"/>
        </w:rPr>
        <w:t xml:space="preserve">Ticaret Bakanlığı Tüketicinin Korunması ve Piyasa Gözetimi Genel Müdürlüğü (TKPGGM) </w:t>
      </w:r>
      <w:r w:rsidR="00873A82" w:rsidRPr="0011125B">
        <w:rPr>
          <w:rFonts w:ascii="Times New Roman" w:hAnsi="Times New Roman" w:cs="Times New Roman"/>
          <w:sz w:val="24"/>
          <w:szCs w:val="24"/>
          <w:lang w:val="tr-TR"/>
        </w:rPr>
        <w:t xml:space="preserve">verileri değerlendirmeye alınmıştır.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r w:rsidR="00390EAF" w:rsidRPr="0011125B">
        <w:rPr>
          <w:rFonts w:ascii="Times New Roman" w:hAnsi="Times New Roman" w:cs="Times New Roman"/>
          <w:sz w:val="24"/>
          <w:szCs w:val="24"/>
          <w:lang w:val="tr-TR"/>
        </w:rPr>
        <w:t>dâhil</w:t>
      </w:r>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Öte yandan, söz konusu denetim verileri ilgili PGD kuruluşl</w:t>
      </w:r>
      <w:r w:rsidR="00753B3E">
        <w:rPr>
          <w:rFonts w:ascii="Times New Roman" w:hAnsi="Times New Roman" w:cs="Times New Roman"/>
          <w:sz w:val="24"/>
          <w:szCs w:val="24"/>
          <w:lang w:val="tr-TR"/>
        </w:rPr>
        <w:t>arından temin edilmiş olup, 2021</w:t>
      </w:r>
      <w:r w:rsidR="00FB1EE5">
        <w:rPr>
          <w:rFonts w:ascii="Times New Roman" w:hAnsi="Times New Roman" w:cs="Times New Roman"/>
          <w:sz w:val="24"/>
          <w:szCs w:val="24"/>
          <w:lang w:val="tr-TR"/>
        </w:rPr>
        <w:t xml:space="preserve"> yılı </w:t>
      </w:r>
      <w:r w:rsidR="00753B3E">
        <w:rPr>
          <w:rFonts w:ascii="Times New Roman" w:hAnsi="Times New Roman" w:cs="Times New Roman"/>
          <w:sz w:val="24"/>
          <w:szCs w:val="24"/>
          <w:lang w:val="tr-TR"/>
        </w:rPr>
        <w:t>Nisan, Mayıs ve Haziran</w:t>
      </w:r>
      <w:r w:rsidR="00DA758D" w:rsidRPr="0011125B">
        <w:rPr>
          <w:rFonts w:ascii="Times New Roman" w:hAnsi="Times New Roman" w:cs="Times New Roman"/>
          <w:sz w:val="24"/>
          <w:szCs w:val="24"/>
          <w:lang w:val="tr-TR"/>
        </w:rPr>
        <w:t xml:space="preserve"> ay</w:t>
      </w:r>
      <w:r w:rsidR="002E778C">
        <w:rPr>
          <w:rFonts w:ascii="Times New Roman" w:hAnsi="Times New Roman" w:cs="Times New Roman"/>
          <w:sz w:val="24"/>
          <w:szCs w:val="24"/>
          <w:lang w:val="tr-TR"/>
        </w:rPr>
        <w:t>larına</w:t>
      </w:r>
      <w:r w:rsidR="00DA758D" w:rsidRPr="0011125B">
        <w:rPr>
          <w:rFonts w:ascii="Times New Roman" w:hAnsi="Times New Roman" w:cs="Times New Roman"/>
          <w:sz w:val="24"/>
          <w:szCs w:val="24"/>
          <w:lang w:val="tr-TR"/>
        </w:rPr>
        <w:t xml:space="preserve">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43C0B" w:rsidRDefault="00843C0B" w:rsidP="00843C0B">
      <w:pPr>
        <w:pStyle w:val="GvdeMetni"/>
        <w:spacing w:after="240"/>
        <w:rPr>
          <w:rFonts w:eastAsiaTheme="minorHAnsi"/>
          <w:b/>
        </w:rPr>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390EAF" w:rsidRDefault="00390EAF" w:rsidP="00843C0B">
      <w:pPr>
        <w:pStyle w:val="GvdeMetni"/>
        <w:spacing w:after="240"/>
        <w:rPr>
          <w:rFonts w:eastAsiaTheme="minorHAnsi"/>
          <w:b/>
        </w:rPr>
      </w:pPr>
    </w:p>
    <w:p w:rsidR="00390EAF" w:rsidRDefault="00390EAF" w:rsidP="00843C0B">
      <w:pPr>
        <w:pStyle w:val="GvdeMetni"/>
        <w:spacing w:after="240"/>
        <w:rPr>
          <w:rFonts w:eastAsiaTheme="minorHAnsi"/>
          <w:b/>
        </w:rPr>
      </w:pPr>
    </w:p>
    <w:p w:rsidR="00390EAF" w:rsidRDefault="00390EAF" w:rsidP="00843C0B">
      <w:pPr>
        <w:pStyle w:val="GvdeMetni"/>
        <w:spacing w:after="240"/>
        <w:rPr>
          <w:rFonts w:eastAsiaTheme="minorHAnsi"/>
          <w:b/>
        </w:rPr>
      </w:pPr>
    </w:p>
    <w:p w:rsidR="00390EAF" w:rsidRDefault="00390EAF" w:rsidP="00843C0B">
      <w:pPr>
        <w:pStyle w:val="GvdeMetni"/>
        <w:spacing w:after="240"/>
        <w:rPr>
          <w:rFonts w:eastAsiaTheme="minorHAnsi"/>
          <w:b/>
        </w:rPr>
      </w:pPr>
    </w:p>
    <w:p w:rsidR="00873A82" w:rsidRDefault="00873A82" w:rsidP="0011125B">
      <w:pPr>
        <w:spacing w:after="0" w:line="240" w:lineRule="auto"/>
        <w:jc w:val="both"/>
        <w:rPr>
          <w:rFonts w:ascii="Times New Roman" w:hAnsi="Times New Roman" w:cs="Times New Roman"/>
          <w:b/>
          <w:sz w:val="24"/>
          <w:szCs w:val="24"/>
          <w:lang w:val="tr-TR"/>
        </w:rPr>
      </w:pPr>
    </w:p>
    <w:p w:rsidR="00390EAF" w:rsidRPr="0011125B" w:rsidRDefault="00390EAF" w:rsidP="0011125B">
      <w:pPr>
        <w:spacing w:after="0" w:line="240" w:lineRule="auto"/>
        <w:jc w:val="both"/>
        <w:rPr>
          <w:rFonts w:ascii="Times New Roman" w:hAnsi="Times New Roman" w:cs="Times New Roman"/>
          <w:sz w:val="24"/>
          <w:szCs w:val="24"/>
          <w:lang w:val="tr-TR"/>
        </w:rPr>
      </w:pP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pgSz w:w="11906" w:h="16838"/>
          <w:pgMar w:top="1417" w:right="1417" w:bottom="1417" w:left="1417" w:header="708" w:footer="708" w:gutter="0"/>
          <w:cols w:space="708"/>
          <w:docGrid w:linePitch="360"/>
        </w:sectPr>
      </w:pPr>
    </w:p>
    <w:p w:rsidR="00FB5E6F" w:rsidRDefault="00C97C88" w:rsidP="004F3276">
      <w:pPr>
        <w:spacing w:after="0" w:line="240" w:lineRule="auto"/>
        <w:ind w:firstLine="360"/>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t>2021</w:t>
      </w:r>
      <w:r w:rsidR="001D4DE7" w:rsidRPr="0011125B">
        <w:rPr>
          <w:rFonts w:ascii="Times New Roman" w:hAnsi="Times New Roman" w:cs="Times New Roman"/>
          <w:b/>
          <w:color w:val="C00000"/>
          <w:sz w:val="24"/>
          <w:szCs w:val="24"/>
          <w:lang w:val="tr-TR"/>
        </w:rPr>
        <w:t xml:space="preserve"> </w:t>
      </w:r>
      <w:r w:rsidR="00833D4E">
        <w:rPr>
          <w:rFonts w:ascii="Times New Roman" w:hAnsi="Times New Roman" w:cs="Times New Roman"/>
          <w:b/>
          <w:color w:val="C00000"/>
          <w:sz w:val="24"/>
          <w:szCs w:val="24"/>
          <w:lang w:val="tr-TR"/>
        </w:rPr>
        <w:t xml:space="preserve">YILI </w:t>
      </w:r>
      <w:r>
        <w:rPr>
          <w:rFonts w:ascii="Times New Roman" w:hAnsi="Times New Roman" w:cs="Times New Roman"/>
          <w:b/>
          <w:color w:val="C00000"/>
          <w:sz w:val="24"/>
          <w:szCs w:val="24"/>
          <w:lang w:val="tr-TR"/>
        </w:rPr>
        <w:t>İKİNCİ</w:t>
      </w:r>
      <w:r w:rsidR="00191CB0">
        <w:rPr>
          <w:rFonts w:ascii="Times New Roman" w:hAnsi="Times New Roman" w:cs="Times New Roman"/>
          <w:b/>
          <w:color w:val="C00000"/>
          <w:sz w:val="24"/>
          <w:szCs w:val="24"/>
          <w:lang w:val="tr-TR"/>
        </w:rPr>
        <w:t xml:space="preserve"> </w:t>
      </w:r>
      <w:r w:rsidR="007C1122">
        <w:rPr>
          <w:rFonts w:ascii="Times New Roman" w:hAnsi="Times New Roman" w:cs="Times New Roman"/>
          <w:b/>
          <w:color w:val="C00000"/>
          <w:sz w:val="24"/>
          <w:szCs w:val="24"/>
          <w:lang w:val="tr-TR"/>
        </w:rPr>
        <w:t>ÜÇ</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2F27D9" w:rsidRPr="002F27D9" w:rsidRDefault="00420F04" w:rsidP="002F27D9">
      <w:pPr>
        <w:spacing w:after="0" w:line="240" w:lineRule="auto"/>
        <w:ind w:left="360"/>
        <w:jc w:val="both"/>
        <w:rPr>
          <w:rFonts w:ascii="Times New Roman" w:hAnsi="Times New Roman" w:cs="Times New Roman"/>
          <w:b/>
          <w:color w:val="C00000"/>
          <w:sz w:val="24"/>
          <w:szCs w:val="24"/>
          <w:lang w:val="tr-TR"/>
        </w:rPr>
      </w:pPr>
      <w:r>
        <w:rPr>
          <w:noProof/>
          <w:lang w:val="tr-TR" w:eastAsia="tr-TR"/>
        </w:rPr>
        <w:drawing>
          <wp:anchor distT="0" distB="0" distL="114300" distR="114300" simplePos="0" relativeHeight="251658240" behindDoc="0" locked="0" layoutInCell="1" allowOverlap="1">
            <wp:simplePos x="0" y="0"/>
            <wp:positionH relativeFrom="column">
              <wp:posOffset>-1905</wp:posOffset>
            </wp:positionH>
            <wp:positionV relativeFrom="paragraph">
              <wp:posOffset>172085</wp:posOffset>
            </wp:positionV>
            <wp:extent cx="2926080" cy="2933700"/>
            <wp:effectExtent l="0" t="0" r="0" b="0"/>
            <wp:wrapSquare wrapText="bothSides"/>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11125B" w:rsidRPr="008E2DC1" w:rsidRDefault="00C97C88"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Bahsi geçen 5</w:t>
      </w:r>
      <w:r w:rsidR="008B2B4E">
        <w:rPr>
          <w:rFonts w:ascii="Times New Roman" w:hAnsi="Times New Roman" w:cs="Times New Roman"/>
          <w:sz w:val="24"/>
          <w:szCs w:val="24"/>
          <w:lang w:val="tr-TR"/>
        </w:rPr>
        <w:t xml:space="preserve"> </w:t>
      </w:r>
      <w:r w:rsidR="00873A82" w:rsidRPr="008E2DC1">
        <w:rPr>
          <w:rFonts w:ascii="Times New Roman" w:hAnsi="Times New Roman" w:cs="Times New Roman"/>
          <w:sz w:val="24"/>
          <w:szCs w:val="24"/>
          <w:lang w:val="tr-TR"/>
        </w:rPr>
        <w:t xml:space="preserve">PGD kuruluşu tarafından denetlenen toplam ürün parti sayısının </w:t>
      </w:r>
      <w:r>
        <w:rPr>
          <w:rFonts w:ascii="Times New Roman" w:hAnsi="Times New Roman" w:cs="Times New Roman"/>
          <w:b/>
          <w:sz w:val="24"/>
          <w:szCs w:val="24"/>
          <w:lang w:val="tr-TR"/>
        </w:rPr>
        <w:t>8.782</w:t>
      </w:r>
      <w:r w:rsidR="00873A82" w:rsidRPr="008E2DC1">
        <w:rPr>
          <w:rFonts w:ascii="Times New Roman" w:hAnsi="Times New Roman" w:cs="Times New Roman"/>
          <w:sz w:val="24"/>
          <w:szCs w:val="24"/>
          <w:lang w:val="tr-TR"/>
        </w:rPr>
        <w:t xml:space="preserve"> olduğu tespit edilmiştir. </w:t>
      </w:r>
      <w:r w:rsidR="00C7494D">
        <w:rPr>
          <w:rFonts w:ascii="Times New Roman" w:hAnsi="Times New Roman" w:cs="Times New Roman"/>
          <w:sz w:val="24"/>
          <w:szCs w:val="24"/>
          <w:lang w:val="tr-TR"/>
        </w:rPr>
        <w:t>23</w:t>
      </w:r>
      <w:r w:rsidR="0092634D">
        <w:rPr>
          <w:rFonts w:ascii="Times New Roman" w:hAnsi="Times New Roman" w:cs="Times New Roman"/>
          <w:sz w:val="24"/>
          <w:szCs w:val="24"/>
          <w:lang w:val="tr-TR"/>
        </w:rPr>
        <w:t>2</w:t>
      </w:r>
      <w:r w:rsidR="002E778C">
        <w:rPr>
          <w:rFonts w:ascii="Times New Roman" w:hAnsi="Times New Roman" w:cs="Times New Roman"/>
          <w:sz w:val="24"/>
          <w:szCs w:val="24"/>
          <w:lang w:val="tr-TR"/>
        </w:rPr>
        <w:t xml:space="preserve"> ürün partisinin</w:t>
      </w:r>
      <w:r w:rsidR="00817C37" w:rsidRPr="008E2DC1">
        <w:rPr>
          <w:rFonts w:ascii="Times New Roman" w:hAnsi="Times New Roman" w:cs="Times New Roman"/>
          <w:sz w:val="24"/>
          <w:szCs w:val="24"/>
          <w:lang w:val="tr-TR"/>
        </w:rPr>
        <w:t xml:space="preserve"> test/deney süreci devam ettiği için denetim</w:t>
      </w:r>
      <w:r w:rsidR="008E2DC1" w:rsidRPr="008E2DC1">
        <w:rPr>
          <w:rFonts w:ascii="Times New Roman" w:hAnsi="Times New Roman" w:cs="Times New Roman"/>
          <w:sz w:val="24"/>
          <w:szCs w:val="24"/>
          <w:lang w:val="tr-TR"/>
        </w:rPr>
        <w:t>i</w:t>
      </w:r>
      <w:r w:rsidR="007F1F49">
        <w:rPr>
          <w:rFonts w:ascii="Times New Roman" w:hAnsi="Times New Roman" w:cs="Times New Roman"/>
          <w:sz w:val="24"/>
          <w:szCs w:val="24"/>
          <w:lang w:val="tr-TR"/>
        </w:rPr>
        <w:t xml:space="preserve"> henüz </w:t>
      </w:r>
      <w:r w:rsidR="00817C37" w:rsidRPr="008E2DC1">
        <w:rPr>
          <w:rFonts w:ascii="Times New Roman" w:hAnsi="Times New Roman" w:cs="Times New Roman"/>
          <w:sz w:val="24"/>
          <w:szCs w:val="24"/>
          <w:lang w:val="tr-TR"/>
        </w:rPr>
        <w:t>sonuçlandırılamamıştır.</w:t>
      </w:r>
      <w:r w:rsidR="007F1F49">
        <w:rPr>
          <w:rFonts w:ascii="Times New Roman" w:hAnsi="Times New Roman" w:cs="Times New Roman"/>
          <w:sz w:val="24"/>
          <w:szCs w:val="24"/>
          <w:lang w:val="tr-TR"/>
        </w:rPr>
        <w:t xml:space="preserve"> </w:t>
      </w:r>
      <w:r w:rsidR="008E2DC1" w:rsidRPr="008E2DC1">
        <w:rPr>
          <w:rFonts w:ascii="Times New Roman" w:hAnsi="Times New Roman" w:cs="Times New Roman"/>
          <w:sz w:val="24"/>
          <w:szCs w:val="24"/>
        </w:rPr>
        <w:t>Denetlenen</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ürünlerden</w:t>
      </w:r>
      <w:r w:rsidR="007F1F49">
        <w:rPr>
          <w:rFonts w:ascii="Times New Roman" w:hAnsi="Times New Roman" w:cs="Times New Roman"/>
          <w:sz w:val="24"/>
          <w:szCs w:val="24"/>
        </w:rPr>
        <w:t xml:space="preserve"> </w:t>
      </w:r>
      <w:r w:rsidR="00C7494D">
        <w:rPr>
          <w:rFonts w:ascii="Times New Roman" w:hAnsi="Times New Roman" w:cs="Times New Roman"/>
          <w:sz w:val="24"/>
          <w:szCs w:val="24"/>
        </w:rPr>
        <w:t>8.306</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parti</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ürün</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uygun</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bulunmuştur.</w:t>
      </w:r>
    </w:p>
    <w:p w:rsidR="007F1F49" w:rsidRDefault="007F1F49"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007F1F49">
        <w:rPr>
          <w:rFonts w:ascii="Times New Roman" w:hAnsi="Times New Roman" w:cs="Times New Roman"/>
          <w:sz w:val="24"/>
          <w:szCs w:val="24"/>
          <w:lang w:val="tr-TR"/>
        </w:rPr>
        <w:t xml:space="preserve"> </w:t>
      </w:r>
      <w:r w:rsidR="00C7494D">
        <w:rPr>
          <w:rFonts w:ascii="Times New Roman" w:hAnsi="Times New Roman" w:cs="Times New Roman"/>
          <w:sz w:val="24"/>
          <w:szCs w:val="24"/>
        </w:rPr>
        <w:t>22</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parti</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ürün</w:t>
      </w:r>
      <w:r w:rsidR="00191CB0">
        <w:rPr>
          <w:rFonts w:ascii="Times New Roman" w:hAnsi="Times New Roman" w:cs="Times New Roman"/>
          <w:sz w:val="24"/>
          <w:szCs w:val="24"/>
        </w:rPr>
        <w:t xml:space="preserve"> güvensiz </w:t>
      </w:r>
      <w:r w:rsidRPr="008E2DC1">
        <w:rPr>
          <w:rFonts w:ascii="Times New Roman" w:hAnsi="Times New Roman" w:cs="Times New Roman"/>
          <w:sz w:val="24"/>
          <w:szCs w:val="24"/>
        </w:rPr>
        <w:t>ve</w:t>
      </w:r>
      <w:r w:rsidR="007F1F49">
        <w:rPr>
          <w:rFonts w:ascii="Times New Roman" w:hAnsi="Times New Roman" w:cs="Times New Roman"/>
          <w:sz w:val="24"/>
          <w:szCs w:val="24"/>
        </w:rPr>
        <w:t xml:space="preserve"> </w:t>
      </w:r>
      <w:r w:rsidR="00C7494D">
        <w:rPr>
          <w:rFonts w:ascii="Times New Roman" w:hAnsi="Times New Roman" w:cs="Times New Roman"/>
          <w:sz w:val="24"/>
          <w:szCs w:val="24"/>
        </w:rPr>
        <w:t>222</w:t>
      </w:r>
      <w:r w:rsidR="00191CB0">
        <w:rPr>
          <w:rFonts w:ascii="Times New Roman" w:hAnsi="Times New Roman" w:cs="Times New Roman"/>
          <w:sz w:val="24"/>
          <w:szCs w:val="24"/>
        </w:rPr>
        <w:t xml:space="preserve"> </w:t>
      </w:r>
      <w:r w:rsidR="00843C0B">
        <w:rPr>
          <w:rFonts w:ascii="Times New Roman" w:hAnsi="Times New Roman" w:cs="Times New Roman"/>
          <w:sz w:val="24"/>
          <w:szCs w:val="24"/>
        </w:rPr>
        <w:t>parti</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ürün</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uygunsuz</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olarak</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tespit</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edilmiş</w:t>
      </w:r>
      <w:r w:rsidR="00843C0B">
        <w:rPr>
          <w:rFonts w:ascii="Times New Roman" w:hAnsi="Times New Roman" w:cs="Times New Roman"/>
          <w:sz w:val="24"/>
          <w:szCs w:val="24"/>
        </w:rPr>
        <w:t>tir. Denetlenen</w:t>
      </w:r>
      <w:r w:rsidR="00191CB0">
        <w:rPr>
          <w:rFonts w:ascii="Times New Roman" w:hAnsi="Times New Roman" w:cs="Times New Roman"/>
          <w:sz w:val="24"/>
          <w:szCs w:val="24"/>
        </w:rPr>
        <w:t xml:space="preserve"> </w:t>
      </w:r>
      <w:r w:rsidR="00843C0B">
        <w:rPr>
          <w:rFonts w:ascii="Times New Roman" w:hAnsi="Times New Roman" w:cs="Times New Roman"/>
          <w:sz w:val="24"/>
          <w:szCs w:val="24"/>
        </w:rPr>
        <w:t>ürünlerde</w:t>
      </w:r>
      <w:r w:rsidR="00191CB0">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C7494D">
        <w:rPr>
          <w:rFonts w:ascii="Times New Roman" w:hAnsi="Times New Roman" w:cs="Times New Roman"/>
          <w:sz w:val="24"/>
          <w:szCs w:val="24"/>
          <w:lang w:val="tr-TR"/>
        </w:rPr>
        <w:t>2</w:t>
      </w:r>
      <w:r w:rsidR="0092634D">
        <w:rPr>
          <w:rFonts w:ascii="Times New Roman" w:hAnsi="Times New Roman" w:cs="Times New Roman"/>
          <w:sz w:val="24"/>
          <w:szCs w:val="24"/>
          <w:lang w:val="tr-TR"/>
        </w:rPr>
        <w:t>,5</w:t>
      </w:r>
      <w:r w:rsidR="00191CB0">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191CB0">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415DE6">
        <w:rPr>
          <w:rFonts w:ascii="Times New Roman" w:hAnsi="Times New Roman" w:cs="Times New Roman"/>
          <w:b/>
          <w:sz w:val="24"/>
          <w:szCs w:val="24"/>
          <w:lang w:val="tr-TR"/>
        </w:rPr>
        <w:t>0</w:t>
      </w:r>
      <w:r w:rsidR="00C7494D">
        <w:rPr>
          <w:rFonts w:ascii="Times New Roman" w:hAnsi="Times New Roman" w:cs="Times New Roman"/>
          <w:b/>
          <w:sz w:val="24"/>
          <w:szCs w:val="24"/>
          <w:lang w:val="tr-TR"/>
        </w:rPr>
        <w:t>,2</w:t>
      </w:r>
      <w:r w:rsidR="00191CB0">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p>
    <w:p w:rsidR="001803AF" w:rsidRDefault="001803AF" w:rsidP="0011125B">
      <w:pPr>
        <w:spacing w:after="0" w:line="240" w:lineRule="auto"/>
        <w:jc w:val="both"/>
        <w:rPr>
          <w:rFonts w:ascii="Times New Roman" w:hAnsi="Times New Roman" w:cs="Times New Roman"/>
          <w:sz w:val="24"/>
          <w:szCs w:val="24"/>
          <w:lang w:val="tr-TR"/>
        </w:rPr>
      </w:pPr>
    </w:p>
    <w:p w:rsidR="00420F04" w:rsidRDefault="00420F04" w:rsidP="0011125B">
      <w:pPr>
        <w:spacing w:after="0" w:line="240" w:lineRule="auto"/>
        <w:jc w:val="both"/>
        <w:rPr>
          <w:rFonts w:ascii="Times New Roman" w:hAnsi="Times New Roman" w:cs="Times New Roman"/>
          <w:sz w:val="24"/>
          <w:szCs w:val="24"/>
          <w:lang w:val="tr-TR"/>
        </w:rPr>
      </w:pPr>
    </w:p>
    <w:p w:rsidR="00E737E7" w:rsidRDefault="00E737E7" w:rsidP="0011125B">
      <w:pPr>
        <w:spacing w:after="0" w:line="240" w:lineRule="auto"/>
        <w:jc w:val="both"/>
        <w:rPr>
          <w:rFonts w:ascii="Times New Roman" w:hAnsi="Times New Roman" w:cs="Times New Roman"/>
          <w:sz w:val="24"/>
          <w:szCs w:val="24"/>
          <w:lang w:val="tr-TR"/>
        </w:rPr>
      </w:pP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8517F7" w:rsidP="0011125B">
      <w:pPr>
        <w:spacing w:after="0" w:line="240" w:lineRule="auto"/>
        <w:jc w:val="both"/>
        <w:rPr>
          <w:noProof/>
          <w:lang w:val="tr-TR" w:eastAsia="tr-TR"/>
        </w:rPr>
      </w:pPr>
      <w:r>
        <w:rPr>
          <w:noProof/>
          <w:lang w:val="tr-TR" w:eastAsia="tr-TR"/>
        </w:rPr>
        <w:drawing>
          <wp:inline distT="0" distB="0" distL="0" distR="0" wp14:anchorId="34922624" wp14:editId="5600F229">
            <wp:extent cx="5648325" cy="419100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494D" w:rsidRDefault="00C7494D" w:rsidP="0011125B">
      <w:pPr>
        <w:spacing w:after="0" w:line="240" w:lineRule="auto"/>
        <w:jc w:val="both"/>
        <w:rPr>
          <w:noProof/>
          <w:lang w:val="tr-TR" w:eastAsia="tr-TR"/>
        </w:rPr>
      </w:pPr>
    </w:p>
    <w:p w:rsidR="00843C0B" w:rsidRDefault="00832D90" w:rsidP="0011125B">
      <w:pPr>
        <w:spacing w:after="0" w:line="240" w:lineRule="auto"/>
        <w:jc w:val="both"/>
        <w:rPr>
          <w:noProof/>
          <w:lang w:val="tr-TR" w:eastAsia="tr-TR"/>
        </w:rPr>
      </w:pPr>
      <w:r>
        <w:rPr>
          <w:noProof/>
          <w:lang w:val="tr-TR" w:eastAsia="tr-TR"/>
        </w:rPr>
        <w:drawing>
          <wp:inline distT="0" distB="0" distL="0" distR="0" wp14:anchorId="0E48F75C" wp14:editId="5493BE7C">
            <wp:extent cx="5695950" cy="4457700"/>
            <wp:effectExtent l="57150" t="57150" r="1905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C7494D">
        <w:rPr>
          <w:rFonts w:ascii="Times New Roman" w:hAnsi="Times New Roman" w:cs="Times New Roman"/>
          <w:sz w:val="24"/>
          <w:szCs w:val="24"/>
          <w:lang w:val="tr-TR"/>
        </w:rPr>
        <w:t>680</w:t>
      </w:r>
      <w:r w:rsidRPr="00E91208">
        <w:rPr>
          <w:rFonts w:ascii="Times New Roman" w:hAnsi="Times New Roman" w:cs="Times New Roman"/>
          <w:sz w:val="24"/>
          <w:szCs w:val="24"/>
          <w:lang w:val="tr-TR"/>
        </w:rPr>
        <w:t xml:space="preserve"> ithal ürün partisi denetlenmiş, </w:t>
      </w:r>
      <w:r w:rsidR="00C7494D">
        <w:rPr>
          <w:rFonts w:ascii="Times New Roman" w:hAnsi="Times New Roman" w:cs="Times New Roman"/>
          <w:color w:val="000000" w:themeColor="text1"/>
          <w:sz w:val="24"/>
          <w:szCs w:val="24"/>
        </w:rPr>
        <w:t>bunların %3,3’ü</w:t>
      </w:r>
      <w:r w:rsidR="008B2B4E">
        <w:rPr>
          <w:rFonts w:ascii="Times New Roman" w:hAnsi="Times New Roman" w:cs="Times New Roman"/>
          <w:color w:val="000000" w:themeColor="text1"/>
          <w:sz w:val="24"/>
          <w:szCs w:val="24"/>
        </w:rPr>
        <w:t xml:space="preserve"> </w:t>
      </w:r>
      <w:r w:rsidRPr="00E91208">
        <w:rPr>
          <w:rFonts w:ascii="Times New Roman" w:hAnsi="Times New Roman" w:cs="Times New Roman"/>
          <w:color w:val="000000" w:themeColor="text1"/>
          <w:sz w:val="24"/>
          <w:szCs w:val="24"/>
        </w:rPr>
        <w:t>uygunsuz</w:t>
      </w:r>
      <w:r w:rsidR="00C7494D">
        <w:rPr>
          <w:rFonts w:ascii="Times New Roman" w:hAnsi="Times New Roman" w:cs="Times New Roman"/>
          <w:color w:val="000000" w:themeColor="text1"/>
          <w:sz w:val="24"/>
          <w:szCs w:val="24"/>
        </w:rPr>
        <w:t>, %0,4</w:t>
      </w:r>
      <w:r w:rsidR="00D53031">
        <w:rPr>
          <w:rFonts w:ascii="Times New Roman" w:hAnsi="Times New Roman" w:cs="Times New Roman"/>
          <w:color w:val="000000" w:themeColor="text1"/>
          <w:sz w:val="24"/>
          <w:szCs w:val="24"/>
        </w:rPr>
        <w:t>’</w:t>
      </w:r>
      <w:r w:rsidR="00415DE6">
        <w:rPr>
          <w:rFonts w:ascii="Times New Roman" w:hAnsi="Times New Roman" w:cs="Times New Roman"/>
          <w:color w:val="000000" w:themeColor="text1"/>
          <w:sz w:val="24"/>
          <w:szCs w:val="24"/>
        </w:rPr>
        <w:t>ü</w:t>
      </w:r>
      <w:r w:rsidR="00191CB0">
        <w:rPr>
          <w:rFonts w:ascii="Times New Roman" w:hAnsi="Times New Roman" w:cs="Times New Roman"/>
          <w:color w:val="000000" w:themeColor="text1"/>
          <w:sz w:val="24"/>
          <w:szCs w:val="24"/>
        </w:rPr>
        <w:t xml:space="preserve"> güvensiz </w:t>
      </w:r>
      <w:r w:rsidRPr="00E91208">
        <w:rPr>
          <w:rFonts w:ascii="Times New Roman" w:hAnsi="Times New Roman" w:cs="Times New Roman"/>
          <w:color w:val="000000" w:themeColor="text1"/>
          <w:sz w:val="24"/>
          <w:szCs w:val="24"/>
        </w:rPr>
        <w:t>bulunmuştur.</w:t>
      </w:r>
      <w:r w:rsidR="00191CB0">
        <w:rPr>
          <w:rFonts w:ascii="Times New Roman" w:hAnsi="Times New Roman" w:cs="Times New Roman"/>
          <w:color w:val="000000" w:themeColor="text1"/>
          <w:sz w:val="24"/>
          <w:szCs w:val="24"/>
        </w:rPr>
        <w:t xml:space="preserve"> </w:t>
      </w:r>
      <w:r w:rsidR="00191CB0">
        <w:rPr>
          <w:rFonts w:ascii="Times New Roman" w:hAnsi="Times New Roman" w:cs="Times New Roman"/>
          <w:sz w:val="24"/>
          <w:szCs w:val="24"/>
          <w:lang w:val="tr-TR"/>
        </w:rPr>
        <w:t xml:space="preserve">Bununla birlikte, </w:t>
      </w:r>
      <w:r w:rsidR="00C7494D">
        <w:rPr>
          <w:rFonts w:ascii="Times New Roman" w:hAnsi="Times New Roman" w:cs="Times New Roman"/>
          <w:sz w:val="24"/>
          <w:szCs w:val="24"/>
          <w:lang w:val="tr-TR"/>
        </w:rPr>
        <w:t>8.102</w:t>
      </w:r>
      <w:r w:rsidR="004118AC" w:rsidRPr="00E91208">
        <w:rPr>
          <w:rFonts w:ascii="Times New Roman" w:hAnsi="Times New Roman" w:cs="Times New Roman"/>
          <w:sz w:val="24"/>
          <w:szCs w:val="24"/>
          <w:lang w:val="tr-TR"/>
        </w:rPr>
        <w:t xml:space="preserve"> yerli ürün partisi denetlenmiş,</w:t>
      </w:r>
      <w:r w:rsidR="00191CB0">
        <w:rPr>
          <w:rFonts w:ascii="Times New Roman" w:hAnsi="Times New Roman" w:cs="Times New Roman"/>
          <w:sz w:val="24"/>
          <w:szCs w:val="24"/>
          <w:lang w:val="tr-TR"/>
        </w:rPr>
        <w:t xml:space="preserve"> </w:t>
      </w:r>
      <w:r w:rsidR="004118AC" w:rsidRPr="00E91208">
        <w:rPr>
          <w:rFonts w:ascii="Times New Roman" w:hAnsi="Times New Roman" w:cs="Times New Roman"/>
          <w:sz w:val="24"/>
          <w:szCs w:val="24"/>
          <w:lang w:val="tr-TR"/>
        </w:rPr>
        <w:t>bunların %</w:t>
      </w:r>
      <w:r w:rsidR="00C7494D">
        <w:rPr>
          <w:rFonts w:ascii="Times New Roman" w:hAnsi="Times New Roman" w:cs="Times New Roman"/>
          <w:sz w:val="24"/>
          <w:szCs w:val="24"/>
          <w:lang w:val="tr-TR"/>
        </w:rPr>
        <w:t>2,4</w:t>
      </w:r>
      <w:r w:rsidR="00415DE6">
        <w:rPr>
          <w:rFonts w:ascii="Times New Roman" w:hAnsi="Times New Roman" w:cs="Times New Roman"/>
          <w:sz w:val="24"/>
          <w:szCs w:val="24"/>
          <w:lang w:val="tr-TR"/>
        </w:rPr>
        <w:t>’ü</w:t>
      </w:r>
      <w:r w:rsidR="00191CB0">
        <w:rPr>
          <w:rFonts w:ascii="Times New Roman" w:hAnsi="Times New Roman" w:cs="Times New Roman"/>
          <w:sz w:val="24"/>
          <w:szCs w:val="24"/>
          <w:lang w:val="tr-TR"/>
        </w:rPr>
        <w:t xml:space="preserve"> </w:t>
      </w:r>
      <w:r w:rsidR="004118AC" w:rsidRPr="00E91208">
        <w:rPr>
          <w:rFonts w:ascii="Times New Roman" w:hAnsi="Times New Roman" w:cs="Times New Roman"/>
          <w:color w:val="000000" w:themeColor="text1"/>
          <w:sz w:val="24"/>
          <w:szCs w:val="24"/>
        </w:rPr>
        <w:t>uygunsuz</w:t>
      </w:r>
      <w:r w:rsidR="009F2175">
        <w:rPr>
          <w:rFonts w:ascii="Times New Roman" w:hAnsi="Times New Roman" w:cs="Times New Roman"/>
          <w:color w:val="000000" w:themeColor="text1"/>
          <w:sz w:val="24"/>
          <w:szCs w:val="24"/>
        </w:rPr>
        <w:t>, %</w:t>
      </w:r>
      <w:r w:rsidR="00415DE6">
        <w:rPr>
          <w:rFonts w:ascii="Times New Roman" w:hAnsi="Times New Roman" w:cs="Times New Roman"/>
          <w:color w:val="000000" w:themeColor="text1"/>
          <w:sz w:val="24"/>
          <w:szCs w:val="24"/>
        </w:rPr>
        <w:t>0,</w:t>
      </w:r>
      <w:r w:rsidR="00C7494D">
        <w:rPr>
          <w:rFonts w:ascii="Times New Roman" w:hAnsi="Times New Roman" w:cs="Times New Roman"/>
          <w:color w:val="000000" w:themeColor="text1"/>
          <w:sz w:val="24"/>
          <w:szCs w:val="24"/>
        </w:rPr>
        <w:t>2</w:t>
      </w:r>
      <w:r w:rsidR="00D53031">
        <w:rPr>
          <w:rFonts w:ascii="Times New Roman" w:hAnsi="Times New Roman" w:cs="Times New Roman"/>
          <w:color w:val="000000" w:themeColor="text1"/>
          <w:sz w:val="24"/>
          <w:szCs w:val="24"/>
        </w:rPr>
        <w:t>’</w:t>
      </w:r>
      <w:r w:rsidR="00C7494D">
        <w:rPr>
          <w:rFonts w:ascii="Times New Roman" w:hAnsi="Times New Roman" w:cs="Times New Roman"/>
          <w:color w:val="000000" w:themeColor="text1"/>
          <w:sz w:val="24"/>
          <w:szCs w:val="24"/>
        </w:rPr>
        <w:t>s</w:t>
      </w:r>
      <w:r w:rsidR="00D53031">
        <w:rPr>
          <w:rFonts w:ascii="Times New Roman" w:hAnsi="Times New Roman" w:cs="Times New Roman"/>
          <w:color w:val="000000" w:themeColor="text1"/>
          <w:sz w:val="24"/>
          <w:szCs w:val="24"/>
        </w:rPr>
        <w:t>i</w:t>
      </w:r>
      <w:r w:rsidR="00191CB0">
        <w:rPr>
          <w:rFonts w:ascii="Times New Roman" w:hAnsi="Times New Roman" w:cs="Times New Roman"/>
          <w:color w:val="000000" w:themeColor="text1"/>
          <w:sz w:val="24"/>
          <w:szCs w:val="24"/>
        </w:rPr>
        <w:t xml:space="preserve"> </w:t>
      </w:r>
      <w:r w:rsidR="009F2175">
        <w:rPr>
          <w:rFonts w:ascii="Times New Roman" w:hAnsi="Times New Roman" w:cs="Times New Roman"/>
          <w:color w:val="000000" w:themeColor="text1"/>
          <w:sz w:val="24"/>
          <w:szCs w:val="24"/>
        </w:rPr>
        <w:t>g</w:t>
      </w:r>
      <w:r w:rsidR="00191CB0">
        <w:rPr>
          <w:rFonts w:ascii="Times New Roman" w:hAnsi="Times New Roman" w:cs="Times New Roman"/>
          <w:color w:val="000000" w:themeColor="text1"/>
          <w:sz w:val="24"/>
          <w:szCs w:val="24"/>
        </w:rPr>
        <w:t xml:space="preserve">üvensiz </w:t>
      </w:r>
      <w:r w:rsidR="004118AC" w:rsidRPr="00E91208">
        <w:rPr>
          <w:rFonts w:ascii="Times New Roman" w:hAnsi="Times New Roman" w:cs="Times New Roman"/>
          <w:color w:val="000000" w:themeColor="text1"/>
          <w:sz w:val="24"/>
          <w:szCs w:val="24"/>
        </w:rPr>
        <w:t>bulunmuştur.</w:t>
      </w:r>
      <w:r w:rsidR="00191CB0">
        <w:rPr>
          <w:rFonts w:ascii="Times New Roman" w:hAnsi="Times New Roman" w:cs="Times New Roman"/>
          <w:color w:val="000000" w:themeColor="text1"/>
          <w:sz w:val="24"/>
          <w:szCs w:val="24"/>
        </w:rPr>
        <w:t xml:space="preserve"> </w:t>
      </w:r>
      <w:r w:rsidR="00415DE6">
        <w:rPr>
          <w:rFonts w:ascii="Times New Roman" w:hAnsi="Times New Roman" w:cs="Times New Roman"/>
          <w:sz w:val="24"/>
          <w:szCs w:val="24"/>
          <w:lang w:val="tr-TR"/>
        </w:rPr>
        <w:t>2</w:t>
      </w:r>
      <w:r w:rsidR="00C7494D">
        <w:rPr>
          <w:rFonts w:ascii="Times New Roman" w:hAnsi="Times New Roman" w:cs="Times New Roman"/>
          <w:sz w:val="24"/>
          <w:szCs w:val="24"/>
          <w:lang w:val="tr-TR"/>
        </w:rPr>
        <w:t>32</w:t>
      </w:r>
      <w:r w:rsidR="002E778C">
        <w:rPr>
          <w:rFonts w:ascii="Times New Roman" w:hAnsi="Times New Roman" w:cs="Times New Roman"/>
          <w:sz w:val="24"/>
          <w:szCs w:val="24"/>
          <w:lang w:val="tr-TR"/>
        </w:rPr>
        <w:t xml:space="preserve"> yerli ürün partisinin denetimi henüz sonuçlandırılamamıştır.</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E364A9">
        <w:rPr>
          <w:rFonts w:ascii="Times New Roman" w:hAnsi="Times New Roman" w:cs="Times New Roman"/>
          <w:sz w:val="24"/>
          <w:szCs w:val="24"/>
          <w:lang w:val="tr-TR"/>
        </w:rPr>
        <w:t>7,7</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 xml:space="preserve">yaklaşık olarak </w:t>
      </w:r>
      <w:r w:rsidR="000D39A9">
        <w:rPr>
          <w:rFonts w:ascii="Times New Roman" w:hAnsi="Times New Roman" w:cs="Times New Roman"/>
          <w:sz w:val="24"/>
          <w:szCs w:val="24"/>
          <w:lang w:val="tr-TR"/>
        </w:rPr>
        <w:t>%</w:t>
      </w:r>
      <w:r w:rsidR="00E364A9">
        <w:rPr>
          <w:rFonts w:ascii="Times New Roman" w:hAnsi="Times New Roman" w:cs="Times New Roman"/>
          <w:sz w:val="24"/>
          <w:szCs w:val="24"/>
          <w:lang w:val="tr-TR"/>
        </w:rPr>
        <w:t>10</w:t>
      </w:r>
      <w:r w:rsidR="009F2175">
        <w:rPr>
          <w:rFonts w:ascii="Times New Roman" w:hAnsi="Times New Roman" w:cs="Times New Roman"/>
          <w:sz w:val="24"/>
          <w:szCs w:val="24"/>
          <w:lang w:val="tr-TR"/>
        </w:rPr>
        <w:t>’</w:t>
      </w:r>
      <w:r w:rsidR="00E364A9">
        <w:rPr>
          <w:rFonts w:ascii="Times New Roman" w:hAnsi="Times New Roman" w:cs="Times New Roman"/>
          <w:sz w:val="24"/>
          <w:szCs w:val="24"/>
          <w:lang w:val="tr-TR"/>
        </w:rPr>
        <w:t>unu</w:t>
      </w:r>
      <w:r w:rsidR="000D39A9">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E364A9">
        <w:rPr>
          <w:rFonts w:ascii="Times New Roman" w:hAnsi="Times New Roman" w:cs="Times New Roman"/>
          <w:b/>
          <w:color w:val="000000" w:themeColor="text1"/>
          <w:sz w:val="24"/>
          <w:szCs w:val="24"/>
          <w:lang w:val="tr-TR"/>
        </w:rPr>
        <w:t>13,6’sını</w:t>
      </w:r>
      <w:r w:rsidR="00191CB0">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AB3B4E" w:rsidRDefault="00AB3B4E" w:rsidP="00BF1548">
      <w:pPr>
        <w:spacing w:after="0" w:line="240" w:lineRule="auto"/>
        <w:jc w:val="both"/>
        <w:rPr>
          <w:rFonts w:ascii="Times New Roman" w:hAnsi="Times New Roman" w:cs="Times New Roman"/>
          <w:sz w:val="24"/>
          <w:szCs w:val="24"/>
          <w:lang w:val="tr-TR"/>
        </w:rPr>
      </w:pPr>
    </w:p>
    <w:p w:rsidR="00E364A9" w:rsidRDefault="00FB2BF0" w:rsidP="00BF154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SB tarafından iletilen bilgilere göre;</w:t>
      </w:r>
      <w:r w:rsidR="00E364A9">
        <w:rPr>
          <w:rFonts w:ascii="Times New Roman" w:hAnsi="Times New Roman" w:cs="Times New Roman"/>
          <w:sz w:val="24"/>
          <w:szCs w:val="24"/>
          <w:lang w:val="tr-TR"/>
        </w:rPr>
        <w:t xml:space="preserve"> </w:t>
      </w:r>
      <w:r w:rsidR="00E364A9" w:rsidRPr="00E364A9">
        <w:rPr>
          <w:rFonts w:ascii="Times New Roman" w:hAnsi="Times New Roman" w:cs="Times New Roman"/>
          <w:sz w:val="24"/>
          <w:szCs w:val="24"/>
          <w:lang w:val="tr-TR"/>
        </w:rPr>
        <w:t xml:space="preserve">Dünya Sağlık Örgütü tarafından pandemi olarak ilan edilen ve ülkemizde de etkisini gösteren Covid-19 salgını nedeniyle özellikle tip-1 biyosidal ürünlere (el dezenfektanları vb.) talepler artmış olup halkımızın güvenli ve etkin ürünlere ulaşımını sağlamak amacıyla denetimler yapılmıştır. 26 adet uygunsuz ürünün 21 tanesi PGD faaliyetleri sırasında tespit edilen ruhsatsız biyosidal ürünler olup söz konusu ruhsatsız ürünler için firmalara idari para cezası uygulanmış ve söz konusu ürünler imha edilmiştir. Biyosidal ürünlere ilişkin analiz süreçleri, firma savunma taleplerine ilişkin süreçler vb. devam etmekte olup işlemi tamamlanmamış ürünlerin verileri tabloya eklenmemiştir. Covid-19 ile mücadele kapsamında ayrıca bugüne </w:t>
      </w:r>
      <w:r w:rsidR="00DB27FE" w:rsidRPr="00E364A9">
        <w:rPr>
          <w:rFonts w:ascii="Times New Roman" w:hAnsi="Times New Roman" w:cs="Times New Roman"/>
          <w:sz w:val="24"/>
          <w:szCs w:val="24"/>
          <w:lang w:val="tr-TR"/>
        </w:rPr>
        <w:t>kadar 570</w:t>
      </w:r>
      <w:r w:rsidR="00E364A9" w:rsidRPr="00E364A9">
        <w:rPr>
          <w:rFonts w:ascii="Times New Roman" w:hAnsi="Times New Roman" w:cs="Times New Roman"/>
          <w:sz w:val="24"/>
          <w:szCs w:val="24"/>
          <w:lang w:val="tr-TR"/>
        </w:rPr>
        <w:t xml:space="preserve"> adet el temizleme ürünü biyosidal ürün olabileceği şüphesiyle denetim programına alınmış olup gerçekleştirilen denetimler sonucunda söz konusu ürünlerin kozmetik ürün statüsünde olduğu tespit edildiğinden kozmetik ürün verilerine </w:t>
      </w:r>
      <w:r w:rsidR="00DB27FE" w:rsidRPr="00E364A9">
        <w:rPr>
          <w:rFonts w:ascii="Times New Roman" w:hAnsi="Times New Roman" w:cs="Times New Roman"/>
          <w:sz w:val="24"/>
          <w:szCs w:val="24"/>
          <w:lang w:val="tr-TR"/>
        </w:rPr>
        <w:t>dâhil</w:t>
      </w:r>
      <w:r w:rsidR="00E364A9" w:rsidRPr="00E364A9">
        <w:rPr>
          <w:rFonts w:ascii="Times New Roman" w:hAnsi="Times New Roman" w:cs="Times New Roman"/>
          <w:sz w:val="24"/>
          <w:szCs w:val="24"/>
          <w:lang w:val="tr-TR"/>
        </w:rPr>
        <w:t xml:space="preserve"> edilmiştir. </w:t>
      </w:r>
    </w:p>
    <w:p w:rsidR="0023775A" w:rsidRDefault="008517F7" w:rsidP="0011125B">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3A6FC57E" wp14:editId="5239918B">
            <wp:extent cx="5800725" cy="3438525"/>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E364A9">
        <w:rPr>
          <w:rFonts w:ascii="Times New Roman" w:hAnsi="Times New Roman" w:cs="Times New Roman"/>
          <w:sz w:val="24"/>
          <w:szCs w:val="24"/>
          <w:lang w:val="tr-TR"/>
        </w:rPr>
        <w:t>535</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w:t>
      </w:r>
      <w:r w:rsidR="009A5BE1">
        <w:rPr>
          <w:rFonts w:ascii="Times New Roman" w:hAnsi="Times New Roman" w:cs="Times New Roman"/>
          <w:sz w:val="24"/>
          <w:szCs w:val="24"/>
          <w:lang w:val="tr-TR"/>
        </w:rPr>
        <w:t>güvensiz ürün tespit oranı da %</w:t>
      </w:r>
      <w:r w:rsidR="00E364A9">
        <w:rPr>
          <w:rFonts w:ascii="Times New Roman" w:hAnsi="Times New Roman" w:cs="Times New Roman"/>
          <w:sz w:val="24"/>
          <w:szCs w:val="24"/>
          <w:lang w:val="tr-TR"/>
        </w:rPr>
        <w:t>4</w:t>
      </w:r>
      <w:r w:rsidRPr="0011125B">
        <w:rPr>
          <w:rFonts w:ascii="Times New Roman" w:hAnsi="Times New Roman" w:cs="Times New Roman"/>
          <w:sz w:val="24"/>
          <w:szCs w:val="24"/>
          <w:lang w:val="tr-TR"/>
        </w:rPr>
        <w:t xml:space="preserve"> (</w:t>
      </w:r>
      <w:r w:rsidR="00E364A9">
        <w:rPr>
          <w:rFonts w:ascii="Times New Roman" w:hAnsi="Times New Roman" w:cs="Times New Roman"/>
          <w:sz w:val="24"/>
          <w:szCs w:val="24"/>
          <w:lang w:val="tr-TR"/>
        </w:rPr>
        <w:t>22</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r w:rsidR="00A14089">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 xml:space="preserve">En fazla test ve/veya muayene sırasıyla </w:t>
      </w:r>
      <w:r w:rsidR="00415DE6">
        <w:rPr>
          <w:rFonts w:ascii="Times New Roman" w:hAnsi="Times New Roman" w:cs="Times New Roman"/>
          <w:sz w:val="24"/>
          <w:szCs w:val="24"/>
          <w:lang w:val="tr-TR"/>
        </w:rPr>
        <w:t xml:space="preserve">hazır </w:t>
      </w:r>
      <w:r w:rsidR="00E364A9">
        <w:rPr>
          <w:rFonts w:ascii="Times New Roman" w:hAnsi="Times New Roman" w:cs="Times New Roman"/>
          <w:sz w:val="24"/>
          <w:szCs w:val="24"/>
          <w:lang w:val="tr-TR"/>
        </w:rPr>
        <w:t>beton</w:t>
      </w:r>
      <w:r w:rsidR="00415DE6">
        <w:rPr>
          <w:rFonts w:ascii="Times New Roman" w:hAnsi="Times New Roman" w:cs="Times New Roman"/>
          <w:sz w:val="24"/>
          <w:szCs w:val="24"/>
          <w:lang w:val="tr-TR"/>
        </w:rPr>
        <w:t>,</w:t>
      </w:r>
      <w:r w:rsidR="00E364A9">
        <w:rPr>
          <w:rFonts w:ascii="Times New Roman" w:hAnsi="Times New Roman" w:cs="Times New Roman"/>
          <w:sz w:val="24"/>
          <w:szCs w:val="24"/>
          <w:lang w:val="tr-TR"/>
        </w:rPr>
        <w:t xml:space="preserve"> hazır beton dışındaki yapı malzemeleri, kişisel koruyucu donanımlar</w:t>
      </w:r>
      <w:r w:rsidR="007F6586">
        <w:rPr>
          <w:rFonts w:ascii="Times New Roman" w:hAnsi="Times New Roman" w:cs="Times New Roman"/>
          <w:sz w:val="24"/>
          <w:szCs w:val="24"/>
          <w:lang w:val="tr-TR"/>
        </w:rPr>
        <w:t xml:space="preserve"> ve diğer tüketici ürünleri</w:t>
      </w:r>
      <w:r w:rsidR="007B076A" w:rsidRPr="007B076A">
        <w:rPr>
          <w:rFonts w:ascii="Times New Roman" w:hAnsi="Times New Roman" w:cs="Times New Roman"/>
          <w:sz w:val="24"/>
          <w:szCs w:val="24"/>
          <w:lang w:val="tr-TR"/>
        </w:rPr>
        <w:t xml:space="preserve"> ürün gruplarında yapılmıştır.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7F6586"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2021</w:t>
      </w:r>
      <w:r w:rsidR="00A536A2" w:rsidRPr="0011125B">
        <w:rPr>
          <w:rFonts w:ascii="Times New Roman" w:hAnsi="Times New Roman" w:cs="Times New Roman"/>
          <w:sz w:val="24"/>
          <w:szCs w:val="24"/>
          <w:lang w:val="tr-TR"/>
        </w:rPr>
        <w:t xml:space="preserve"> yılı </w:t>
      </w:r>
      <w:r>
        <w:rPr>
          <w:rFonts w:ascii="Times New Roman" w:hAnsi="Times New Roman" w:cs="Times New Roman"/>
          <w:sz w:val="24"/>
          <w:szCs w:val="24"/>
          <w:lang w:val="tr-TR"/>
        </w:rPr>
        <w:t>ikinci</w:t>
      </w:r>
      <w:r w:rsidR="003132AE">
        <w:rPr>
          <w:rFonts w:ascii="Times New Roman" w:hAnsi="Times New Roman" w:cs="Times New Roman"/>
          <w:sz w:val="24"/>
          <w:szCs w:val="24"/>
          <w:lang w:val="tr-TR"/>
        </w:rPr>
        <w:t xml:space="preserve"> üç</w:t>
      </w:r>
      <w:r w:rsidR="00A536A2" w:rsidRPr="0011125B">
        <w:rPr>
          <w:rFonts w:ascii="Times New Roman" w:hAnsi="Times New Roman" w:cs="Times New Roman"/>
          <w:sz w:val="24"/>
          <w:szCs w:val="24"/>
          <w:lang w:val="tr-TR"/>
        </w:rPr>
        <w:t xml:space="preserve"> ayında</w:t>
      </w:r>
      <w:r w:rsidR="00A14089">
        <w:rPr>
          <w:rFonts w:ascii="Times New Roman" w:hAnsi="Times New Roman" w:cs="Times New Roman"/>
          <w:sz w:val="24"/>
          <w:szCs w:val="24"/>
          <w:lang w:val="tr-TR"/>
        </w:rPr>
        <w:t xml:space="preserve"> </w:t>
      </w:r>
      <w:r w:rsidR="00A536A2"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Pr>
          <w:rFonts w:ascii="Times New Roman" w:hAnsi="Times New Roman" w:cs="Times New Roman"/>
          <w:sz w:val="24"/>
          <w:szCs w:val="24"/>
          <w:lang w:val="tr-TR"/>
        </w:rPr>
        <w:t>22</w:t>
      </w:r>
      <w:r w:rsidR="00A536A2"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00A536A2" w:rsidRPr="0011125B">
        <w:rPr>
          <w:rFonts w:ascii="Times New Roman" w:hAnsi="Times New Roman" w:cs="Times New Roman"/>
          <w:sz w:val="24"/>
          <w:szCs w:val="24"/>
          <w:lang w:val="tr-TR"/>
        </w:rPr>
        <w:t xml:space="preserve"> (</w:t>
      </w:r>
      <w:r>
        <w:rPr>
          <w:rFonts w:ascii="Times New Roman" w:hAnsi="Times New Roman" w:cs="Times New Roman"/>
          <w:sz w:val="24"/>
          <w:szCs w:val="24"/>
          <w:lang w:val="tr-TR"/>
        </w:rPr>
        <w:t>22</w:t>
      </w:r>
      <w:r w:rsidR="00A536A2"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Pr>
          <w:rFonts w:ascii="Times New Roman" w:hAnsi="Times New Roman" w:cs="Times New Roman"/>
          <w:sz w:val="24"/>
          <w:szCs w:val="24"/>
          <w:lang w:val="tr-TR"/>
        </w:rPr>
        <w:t>tamamının</w:t>
      </w:r>
      <w:r w:rsidR="002C76BA" w:rsidRPr="0011125B">
        <w:rPr>
          <w:rFonts w:ascii="Times New Roman" w:hAnsi="Times New Roman" w:cs="Times New Roman"/>
          <w:sz w:val="24"/>
          <w:szCs w:val="24"/>
          <w:lang w:val="tr-TR"/>
        </w:rPr>
        <w:t xml:space="preserve"> test/muayene sonucunda tespit edil</w:t>
      </w:r>
      <w:r w:rsidR="00A536A2"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 bu işlemlerin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sidR="00A14089">
        <w:rPr>
          <w:rFonts w:ascii="Times New Roman" w:hAnsi="Times New Roman" w:cs="Times New Roman"/>
          <w:sz w:val="24"/>
          <w:szCs w:val="24"/>
          <w:lang w:val="tr-TR"/>
        </w:rPr>
        <w:t xml:space="preserve"> genel olar</w:t>
      </w:r>
      <w:r>
        <w:rPr>
          <w:rFonts w:ascii="Times New Roman" w:hAnsi="Times New Roman" w:cs="Times New Roman"/>
          <w:sz w:val="24"/>
          <w:szCs w:val="24"/>
          <w:lang w:val="tr-TR"/>
        </w:rPr>
        <w:t>ak 2021</w:t>
      </w:r>
      <w:r w:rsidR="00BA1622" w:rsidRPr="0011125B">
        <w:rPr>
          <w:rFonts w:ascii="Times New Roman" w:hAnsi="Times New Roman" w:cs="Times New Roman"/>
          <w:sz w:val="24"/>
          <w:szCs w:val="24"/>
          <w:lang w:val="tr-TR"/>
        </w:rPr>
        <w:t xml:space="preserve"> yılı </w:t>
      </w:r>
      <w:r>
        <w:rPr>
          <w:rFonts w:ascii="Times New Roman" w:hAnsi="Times New Roman" w:cs="Times New Roman"/>
          <w:sz w:val="24"/>
          <w:szCs w:val="24"/>
          <w:lang w:val="tr-TR"/>
        </w:rPr>
        <w:t>ikinci</w:t>
      </w:r>
      <w:r w:rsidR="008178C6">
        <w:rPr>
          <w:rFonts w:ascii="Times New Roman" w:hAnsi="Times New Roman" w:cs="Times New Roman"/>
          <w:sz w:val="24"/>
          <w:szCs w:val="24"/>
          <w:lang w:val="tr-TR"/>
        </w:rPr>
        <w:t xml:space="preserve"> </w:t>
      </w:r>
      <w:r w:rsidR="003132AE">
        <w:rPr>
          <w:rFonts w:ascii="Times New Roman" w:hAnsi="Times New Roman" w:cs="Times New Roman"/>
          <w:sz w:val="24"/>
          <w:szCs w:val="24"/>
          <w:lang w:val="tr-TR"/>
        </w:rPr>
        <w:t>üç</w:t>
      </w:r>
      <w:r w:rsidR="00BA1622" w:rsidRPr="0011125B">
        <w:rPr>
          <w:rFonts w:ascii="Times New Roman" w:hAnsi="Times New Roman" w:cs="Times New Roman"/>
          <w:sz w:val="24"/>
          <w:szCs w:val="24"/>
          <w:lang w:val="tr-TR"/>
        </w:rPr>
        <w:t xml:space="preserve"> ayında riskli ürünleri tespitte etkin oldukları söylenebilir.</w:t>
      </w:r>
    </w:p>
    <w:p w:rsidR="00420F04" w:rsidRDefault="00420F04" w:rsidP="0011125B">
      <w:pPr>
        <w:spacing w:after="0" w:line="240" w:lineRule="auto"/>
        <w:jc w:val="both"/>
        <w:rPr>
          <w:rFonts w:ascii="Times New Roman" w:hAnsi="Times New Roman" w:cs="Times New Roman"/>
          <w:sz w:val="24"/>
          <w:szCs w:val="24"/>
          <w:lang w:val="tr-TR"/>
        </w:rPr>
      </w:pPr>
    </w:p>
    <w:p w:rsidR="00197CA3" w:rsidRDefault="008517F7"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7DD7AB7D" wp14:editId="765C308B">
            <wp:extent cx="5686425" cy="2941982"/>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Söz konusu dönemde </w:t>
      </w:r>
      <w:r w:rsidR="007F6586">
        <w:rPr>
          <w:rFonts w:ascii="Times New Roman" w:hAnsi="Times New Roman" w:cs="Times New Roman"/>
          <w:sz w:val="24"/>
          <w:szCs w:val="24"/>
          <w:lang w:val="tr-TR"/>
        </w:rPr>
        <w:t>222</w:t>
      </w:r>
      <w:r w:rsidR="009C758B">
        <w:rPr>
          <w:rFonts w:ascii="Times New Roman" w:hAnsi="Times New Roman" w:cs="Times New Roman"/>
          <w:sz w:val="24"/>
          <w:szCs w:val="24"/>
          <w:lang w:val="tr-TR"/>
        </w:rPr>
        <w:t xml:space="preserve"> ürün partisinin</w:t>
      </w:r>
      <w:r w:rsidRPr="0011125B">
        <w:rPr>
          <w:rFonts w:ascii="Times New Roman" w:hAnsi="Times New Roman" w:cs="Times New Roman"/>
          <w:sz w:val="24"/>
          <w:szCs w:val="24"/>
          <w:lang w:val="tr-TR"/>
        </w:rPr>
        <w:t xml:space="preserve"> uyguns</w:t>
      </w:r>
      <w:r w:rsidR="0036575F">
        <w:rPr>
          <w:rFonts w:ascii="Times New Roman" w:hAnsi="Times New Roman" w:cs="Times New Roman"/>
          <w:sz w:val="24"/>
          <w:szCs w:val="24"/>
          <w:lang w:val="tr-TR"/>
        </w:rPr>
        <w:t xml:space="preserve">uz olduğu tespit edilmiştir. </w:t>
      </w:r>
      <w:r w:rsidR="007F6586">
        <w:rPr>
          <w:rFonts w:ascii="Times New Roman" w:hAnsi="Times New Roman" w:cs="Times New Roman"/>
          <w:sz w:val="24"/>
          <w:szCs w:val="24"/>
          <w:lang w:val="tr-TR"/>
        </w:rPr>
        <w:t>35</w:t>
      </w:r>
      <w:r w:rsidR="0079290D">
        <w:rPr>
          <w:rFonts w:ascii="Times New Roman" w:hAnsi="Times New Roman" w:cs="Times New Roman"/>
          <w:sz w:val="24"/>
          <w:szCs w:val="24"/>
          <w:lang w:val="tr-TR"/>
        </w:rPr>
        <w:t>’</w:t>
      </w:r>
      <w:r w:rsidR="007F6586">
        <w:rPr>
          <w:rFonts w:ascii="Times New Roman" w:hAnsi="Times New Roman" w:cs="Times New Roman"/>
          <w:sz w:val="24"/>
          <w:szCs w:val="24"/>
          <w:lang w:val="tr-TR"/>
        </w:rPr>
        <w:t>ine</w:t>
      </w:r>
      <w:r w:rsidR="00A14089">
        <w:rPr>
          <w:rFonts w:ascii="Times New Roman" w:hAnsi="Times New Roman" w:cs="Times New Roman"/>
          <w:sz w:val="24"/>
          <w:szCs w:val="24"/>
          <w:lang w:val="tr-TR"/>
        </w:rPr>
        <w:t xml:space="preserve"> </w:t>
      </w:r>
      <w:r w:rsidR="007F6586">
        <w:rPr>
          <w:rFonts w:ascii="Times New Roman" w:hAnsi="Times New Roman" w:cs="Times New Roman"/>
          <w:sz w:val="24"/>
          <w:szCs w:val="24"/>
          <w:lang w:val="tr-TR"/>
        </w:rPr>
        <w:t>958.786</w:t>
      </w:r>
      <w:r w:rsidR="00415DE6">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Bununla birlikte, güvensiz olduğu tespit edilen </w:t>
      </w:r>
      <w:r w:rsidR="007F6586">
        <w:rPr>
          <w:rFonts w:ascii="Times New Roman" w:hAnsi="Times New Roman" w:cs="Times New Roman"/>
          <w:sz w:val="24"/>
          <w:szCs w:val="24"/>
          <w:lang w:val="tr-TR"/>
        </w:rPr>
        <w:t>22</w:t>
      </w:r>
      <w:r w:rsidR="009C758B">
        <w:rPr>
          <w:rFonts w:ascii="Times New Roman" w:hAnsi="Times New Roman" w:cs="Times New Roman"/>
          <w:sz w:val="24"/>
          <w:szCs w:val="24"/>
          <w:lang w:val="tr-TR"/>
        </w:rPr>
        <w:t xml:space="preserve"> ürün partisinin</w:t>
      </w:r>
      <w:r w:rsidR="00A14089">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9’una da</w:t>
      </w:r>
      <w:r w:rsidR="00A14089">
        <w:rPr>
          <w:rFonts w:ascii="Times New Roman" w:hAnsi="Times New Roman" w:cs="Times New Roman"/>
          <w:sz w:val="24"/>
          <w:szCs w:val="24"/>
          <w:lang w:val="tr-TR"/>
        </w:rPr>
        <w:t xml:space="preserve"> </w:t>
      </w:r>
      <w:r w:rsidR="007F6586">
        <w:rPr>
          <w:rFonts w:ascii="Times New Roman" w:hAnsi="Times New Roman" w:cs="Times New Roman"/>
          <w:sz w:val="24"/>
          <w:szCs w:val="24"/>
          <w:lang w:val="tr-TR"/>
        </w:rPr>
        <w:t>922.138</w:t>
      </w:r>
      <w:r w:rsidR="006E063A">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991A94">
        <w:rPr>
          <w:rFonts w:ascii="Times New Roman" w:hAnsi="Times New Roman" w:cs="Times New Roman"/>
          <w:sz w:val="24"/>
          <w:szCs w:val="24"/>
          <w:lang w:val="tr-TR"/>
        </w:rPr>
        <w:t>Bununla birlikte, u</w:t>
      </w:r>
      <w:r w:rsidR="00991A94" w:rsidRPr="00991A94">
        <w:rPr>
          <w:rFonts w:ascii="Times New Roman" w:hAnsi="Times New Roman" w:cs="Times New Roman"/>
          <w:sz w:val="24"/>
          <w:szCs w:val="24"/>
          <w:lang w:val="tr-TR"/>
        </w:rPr>
        <w:t>ygunsuz</w:t>
      </w:r>
      <w:r w:rsidR="00991A94">
        <w:rPr>
          <w:rFonts w:ascii="Times New Roman" w:hAnsi="Times New Roman" w:cs="Times New Roman"/>
          <w:sz w:val="24"/>
          <w:szCs w:val="24"/>
          <w:lang w:val="tr-TR"/>
        </w:rPr>
        <w:t xml:space="preserve"> ve güvensiz</w:t>
      </w:r>
      <w:r w:rsidR="00991A94" w:rsidRPr="00991A94">
        <w:rPr>
          <w:rFonts w:ascii="Times New Roman" w:hAnsi="Times New Roman" w:cs="Times New Roman"/>
          <w:sz w:val="24"/>
          <w:szCs w:val="24"/>
          <w:lang w:val="tr-TR"/>
        </w:rPr>
        <w:t xml:space="preserve"> bulunan ürünlere ilişkin idari işlemler uzun sürdüğünden</w:t>
      </w:r>
      <w:r w:rsidR="00991A94">
        <w:rPr>
          <w:rFonts w:ascii="Times New Roman" w:hAnsi="Times New Roman" w:cs="Times New Roman"/>
          <w:sz w:val="24"/>
          <w:szCs w:val="24"/>
          <w:lang w:val="tr-TR"/>
        </w:rPr>
        <w:t xml:space="preserve"> bazı ürün gruplarında</w:t>
      </w:r>
      <w:r w:rsidR="00991A94" w:rsidRPr="00991A94">
        <w:rPr>
          <w:rFonts w:ascii="Times New Roman" w:hAnsi="Times New Roman" w:cs="Times New Roman"/>
          <w:sz w:val="24"/>
          <w:szCs w:val="24"/>
          <w:lang w:val="tr-TR"/>
        </w:rPr>
        <w:t xml:space="preserve"> idari yaptırımlara</w:t>
      </w:r>
      <w:r w:rsidR="00991A94">
        <w:rPr>
          <w:rFonts w:ascii="Times New Roman" w:hAnsi="Times New Roman" w:cs="Times New Roman"/>
          <w:sz w:val="24"/>
          <w:szCs w:val="24"/>
          <w:lang w:val="tr-TR"/>
        </w:rPr>
        <w:t xml:space="preserve"> ve para cezalarına</w:t>
      </w:r>
      <w:r w:rsidR="00991A94" w:rsidRPr="00991A94">
        <w:rPr>
          <w:rFonts w:ascii="Times New Roman" w:hAnsi="Times New Roman" w:cs="Times New Roman"/>
          <w:sz w:val="24"/>
          <w:szCs w:val="24"/>
          <w:lang w:val="tr-TR"/>
        </w:rPr>
        <w:t xml:space="preserve"> ilişkin işlemler tamamlan</w:t>
      </w:r>
      <w:r w:rsidR="006B09BD">
        <w:rPr>
          <w:rFonts w:ascii="Times New Roman" w:hAnsi="Times New Roman" w:cs="Times New Roman"/>
          <w:sz w:val="24"/>
          <w:szCs w:val="24"/>
          <w:lang w:val="tr-TR"/>
        </w:rPr>
        <w:t>a</w:t>
      </w:r>
      <w:r w:rsidR="00991A94" w:rsidRPr="00991A94">
        <w:rPr>
          <w:rFonts w:ascii="Times New Roman" w:hAnsi="Times New Roman" w:cs="Times New Roman"/>
          <w:sz w:val="24"/>
          <w:szCs w:val="24"/>
          <w:lang w:val="tr-TR"/>
        </w:rPr>
        <w:t>mamıştır.</w:t>
      </w:r>
      <w:r w:rsidR="00991A94">
        <w:rPr>
          <w:rFonts w:ascii="Times New Roman" w:hAnsi="Times New Roman" w:cs="Times New Roman"/>
          <w:sz w:val="24"/>
          <w:szCs w:val="24"/>
          <w:lang w:val="tr-TR"/>
        </w:rPr>
        <w:t xml:space="preserve"> Söz konusu işlemlerin tamamlanmasını müteakip idari yaptırım ve para cezaları hakkında Yıllık PGD Raporu’nda raporlama yapılabil</w:t>
      </w:r>
      <w:r w:rsidR="00A14089">
        <w:rPr>
          <w:rFonts w:ascii="Times New Roman" w:hAnsi="Times New Roman" w:cs="Times New Roman"/>
          <w:sz w:val="24"/>
          <w:szCs w:val="24"/>
          <w:lang w:val="tr-TR"/>
        </w:rPr>
        <w:t>mektedir.</w:t>
      </w: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390EAF"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0E24B53F" wp14:editId="4392D785">
            <wp:extent cx="5791200" cy="44577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350073" w:rsidRDefault="00E34245" w:rsidP="00350073">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Ürün grubu bazında bir değerlendirme yapıldığında,</w:t>
      </w:r>
      <w:r w:rsidR="00AE697F" w:rsidRPr="008F1C1E">
        <w:rPr>
          <w:rFonts w:ascii="Times New Roman" w:hAnsi="Times New Roman" w:cs="Times New Roman"/>
          <w:color w:val="000000" w:themeColor="text1"/>
          <w:sz w:val="24"/>
          <w:szCs w:val="24"/>
          <w:lang w:val="tr-TR"/>
        </w:rPr>
        <w:t xml:space="preserve"> denetlenen ürün</w:t>
      </w:r>
      <w:r w:rsidR="00B26B7D" w:rsidRPr="008F1C1E">
        <w:rPr>
          <w:rFonts w:ascii="Times New Roman" w:hAnsi="Times New Roman" w:cs="Times New Roman"/>
          <w:color w:val="000000" w:themeColor="text1"/>
          <w:sz w:val="24"/>
          <w:szCs w:val="24"/>
          <w:lang w:val="tr-TR"/>
        </w:rPr>
        <w:t>lerde uygunsuz</w:t>
      </w:r>
      <w:r w:rsidR="00547EDE">
        <w:rPr>
          <w:rFonts w:ascii="Times New Roman" w:hAnsi="Times New Roman" w:cs="Times New Roman"/>
          <w:color w:val="000000" w:themeColor="text1"/>
          <w:sz w:val="24"/>
          <w:szCs w:val="24"/>
          <w:lang w:val="tr-TR"/>
        </w:rPr>
        <w:t>luk</w:t>
      </w:r>
      <w:r w:rsidR="00AE697F" w:rsidRPr="008F1C1E">
        <w:rPr>
          <w:rFonts w:ascii="Times New Roman" w:hAnsi="Times New Roman" w:cs="Times New Roman"/>
          <w:color w:val="000000" w:themeColor="text1"/>
          <w:sz w:val="24"/>
          <w:szCs w:val="24"/>
          <w:lang w:val="tr-TR"/>
        </w:rPr>
        <w:t xml:space="preserve"> sayısının en yüksek olduğu</w:t>
      </w:r>
      <w:r w:rsidR="00793609">
        <w:rPr>
          <w:rFonts w:ascii="Times New Roman" w:hAnsi="Times New Roman" w:cs="Times New Roman"/>
          <w:color w:val="000000" w:themeColor="text1"/>
          <w:sz w:val="24"/>
          <w:szCs w:val="24"/>
          <w:lang w:val="tr-TR"/>
        </w:rPr>
        <w:t xml:space="preserve"> </w:t>
      </w:r>
      <w:r w:rsidR="00AB0B26" w:rsidRPr="008F1C1E">
        <w:rPr>
          <w:rFonts w:ascii="Times New Roman" w:hAnsi="Times New Roman" w:cs="Times New Roman"/>
          <w:color w:val="000000" w:themeColor="text1"/>
          <w:sz w:val="24"/>
          <w:szCs w:val="24"/>
          <w:lang w:val="tr-TR"/>
        </w:rPr>
        <w:t xml:space="preserve">ürün gruplarının sırasıyla </w:t>
      </w:r>
      <w:r w:rsidR="00350073">
        <w:rPr>
          <w:rFonts w:ascii="Times New Roman" w:hAnsi="Times New Roman" w:cs="Times New Roman"/>
          <w:color w:val="000000" w:themeColor="text1"/>
          <w:sz w:val="24"/>
          <w:szCs w:val="24"/>
          <w:lang w:val="tr-TR"/>
        </w:rPr>
        <w:t>hazır beton dışındaki yapı malzemeleri,</w:t>
      </w:r>
      <w:r w:rsidR="00350073" w:rsidRPr="00350073">
        <w:rPr>
          <w:rFonts w:ascii="Times New Roman" w:hAnsi="Times New Roman" w:cs="Times New Roman"/>
          <w:color w:val="000000" w:themeColor="text1"/>
          <w:sz w:val="24"/>
          <w:szCs w:val="24"/>
          <w:lang w:val="tr-TR"/>
        </w:rPr>
        <w:t xml:space="preserve"> </w:t>
      </w:r>
      <w:r w:rsidR="00350073">
        <w:rPr>
          <w:rFonts w:ascii="Times New Roman" w:hAnsi="Times New Roman" w:cs="Times New Roman"/>
          <w:color w:val="000000" w:themeColor="text1"/>
          <w:sz w:val="24"/>
          <w:szCs w:val="24"/>
          <w:lang w:val="tr-TR"/>
        </w:rPr>
        <w:t>biyosidal ürünler (tip 1 ve tip 19 hariç), hazır beton, biyosidal ürünler (tip 1 ve tip 19) ve</w:t>
      </w:r>
    </w:p>
    <w:p w:rsidR="00E34245" w:rsidRPr="008F1C1E" w:rsidRDefault="00DA3567" w:rsidP="00E34245">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ve </w:t>
      </w:r>
      <w:r w:rsidR="00743E89">
        <w:rPr>
          <w:rFonts w:ascii="Times New Roman" w:hAnsi="Times New Roman" w:cs="Times New Roman"/>
          <w:color w:val="000000" w:themeColor="text1"/>
          <w:sz w:val="24"/>
          <w:szCs w:val="24"/>
          <w:lang w:val="tr-TR"/>
        </w:rPr>
        <w:t>kırtasiye</w:t>
      </w:r>
      <w:r w:rsidR="00AB0B26" w:rsidRPr="008F1C1E">
        <w:rPr>
          <w:rFonts w:ascii="Times New Roman" w:hAnsi="Times New Roman" w:cs="Times New Roman"/>
          <w:color w:val="000000" w:themeColor="text1"/>
          <w:sz w:val="24"/>
          <w:szCs w:val="24"/>
          <w:lang w:val="tr-TR"/>
        </w:rPr>
        <w:t xml:space="preserve"> </w:t>
      </w:r>
      <w:r w:rsidR="0019429B" w:rsidRPr="008F1C1E">
        <w:rPr>
          <w:rFonts w:ascii="Times New Roman" w:hAnsi="Times New Roman" w:cs="Times New Roman"/>
          <w:color w:val="000000" w:themeColor="text1"/>
          <w:sz w:val="24"/>
          <w:szCs w:val="24"/>
          <w:lang w:val="tr-TR"/>
        </w:rPr>
        <w:t>ürün grupları</w:t>
      </w:r>
      <w:r w:rsidR="00AB0B26" w:rsidRPr="008F1C1E">
        <w:rPr>
          <w:rFonts w:ascii="Times New Roman" w:hAnsi="Times New Roman" w:cs="Times New Roman"/>
          <w:color w:val="000000" w:themeColor="text1"/>
          <w:sz w:val="24"/>
          <w:szCs w:val="24"/>
          <w:lang w:val="tr-TR"/>
        </w:rPr>
        <w:t xml:space="preserve"> olduğu görülmektedir.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w:t>
      </w:r>
      <w:r w:rsidR="00C5347A">
        <w:rPr>
          <w:rFonts w:ascii="Times New Roman" w:hAnsi="Times New Roman" w:cs="Times New Roman"/>
          <w:color w:val="000000" w:themeColor="text1"/>
          <w:sz w:val="24"/>
          <w:szCs w:val="24"/>
          <w:lang w:val="tr-TR"/>
        </w:rPr>
        <w:t xml:space="preserve"> olmasına rağmen ilgili dönemde herhangi bir </w:t>
      </w:r>
      <w:r w:rsidR="00DB27FE">
        <w:rPr>
          <w:rFonts w:ascii="Times New Roman" w:hAnsi="Times New Roman" w:cs="Times New Roman"/>
          <w:color w:val="000000" w:themeColor="text1"/>
          <w:sz w:val="24"/>
          <w:szCs w:val="24"/>
          <w:lang w:val="tr-TR"/>
        </w:rPr>
        <w:t>şikâyet</w:t>
      </w:r>
      <w:r w:rsidR="00C5347A">
        <w:rPr>
          <w:rFonts w:ascii="Times New Roman" w:hAnsi="Times New Roman" w:cs="Times New Roman"/>
          <w:color w:val="000000" w:themeColor="text1"/>
          <w:sz w:val="24"/>
          <w:szCs w:val="24"/>
          <w:lang w:val="tr-TR"/>
        </w:rPr>
        <w:t>/ihbar verisi temin edilememiştir.</w:t>
      </w:r>
    </w:p>
    <w:p w:rsidR="00C31BE9" w:rsidRDefault="00C31BE9" w:rsidP="00C31BE9">
      <w:pPr>
        <w:spacing w:after="0" w:line="240" w:lineRule="auto"/>
        <w:jc w:val="both"/>
        <w:rPr>
          <w:rFonts w:ascii="Times New Roman" w:hAnsi="Times New Roman" w:cs="Times New Roman"/>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753B3E"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drawing>
          <wp:inline distT="0" distB="0" distL="0" distR="0" wp14:anchorId="4798A265" wp14:editId="2088089C">
            <wp:extent cx="5648325" cy="2181225"/>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Default="00350073" w:rsidP="00394B52">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sz w:val="24"/>
          <w:szCs w:val="24"/>
        </w:rPr>
        <w:t>2021</w:t>
      </w:r>
      <w:r w:rsidRPr="00E34245">
        <w:rPr>
          <w:rFonts w:ascii="Times New Roman" w:hAnsi="Times New Roman" w:cs="Times New Roman"/>
          <w:sz w:val="24"/>
          <w:szCs w:val="24"/>
        </w:rPr>
        <w:t xml:space="preserve"> yılı</w:t>
      </w:r>
      <w:r>
        <w:rPr>
          <w:rFonts w:ascii="Times New Roman" w:hAnsi="Times New Roman" w:cs="Times New Roman"/>
          <w:sz w:val="24"/>
          <w:szCs w:val="24"/>
        </w:rPr>
        <w:t xml:space="preserve"> ikinci üç ayında </w:t>
      </w:r>
      <w:r>
        <w:rPr>
          <w:rFonts w:ascii="Times New Roman" w:hAnsi="Times New Roman" w:cs="Times New Roman"/>
          <w:sz w:val="24"/>
          <w:szCs w:val="24"/>
          <w:lang w:val="tr-TR"/>
        </w:rPr>
        <w:t xml:space="preserve">PGD kuruluşlarından yalnızca kırtasiye ve </w:t>
      </w:r>
      <w:r>
        <w:rPr>
          <w:rFonts w:ascii="Times New Roman" w:hAnsi="Times New Roman" w:cs="Times New Roman"/>
          <w:color w:val="000000" w:themeColor="text1"/>
          <w:sz w:val="24"/>
          <w:szCs w:val="24"/>
          <w:lang w:val="tr-TR"/>
        </w:rPr>
        <w:t>hazır beton dışındaki yapı malzemeleri</w:t>
      </w:r>
      <w:r>
        <w:rPr>
          <w:rFonts w:ascii="Times New Roman" w:hAnsi="Times New Roman" w:cs="Times New Roman"/>
          <w:sz w:val="24"/>
          <w:szCs w:val="24"/>
          <w:lang w:val="tr-TR"/>
        </w:rPr>
        <w:t>ne yönelik ithal uygunsuzluk verisi temin edilmiştir. Bu kapsamda d</w:t>
      </w:r>
      <w:r w:rsidR="00E34245" w:rsidRPr="0011125B">
        <w:rPr>
          <w:rFonts w:ascii="Times New Roman" w:hAnsi="Times New Roman" w:cs="Times New Roman"/>
          <w:sz w:val="24"/>
          <w:szCs w:val="24"/>
          <w:lang w:val="tr-TR"/>
        </w:rPr>
        <w:t>enetlenen ithal</w:t>
      </w:r>
      <w:r w:rsidR="00E34245">
        <w:rPr>
          <w:rFonts w:ascii="Times New Roman" w:hAnsi="Times New Roman" w:cs="Times New Roman"/>
          <w:sz w:val="24"/>
          <w:szCs w:val="24"/>
          <w:lang w:val="tr-TR"/>
        </w:rPr>
        <w:t xml:space="preserve"> ürünler içerisinde uygunsuzluk</w:t>
      </w:r>
      <w:r w:rsidR="00DA3567">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2F655A">
        <w:rPr>
          <w:rFonts w:ascii="Times New Roman" w:hAnsi="Times New Roman" w:cs="Times New Roman"/>
          <w:sz w:val="24"/>
          <w:szCs w:val="24"/>
          <w:lang w:val="tr-TR"/>
        </w:rPr>
        <w:t>nın</w:t>
      </w:r>
      <w:r w:rsidR="00E34245" w:rsidRPr="0011125B">
        <w:rPr>
          <w:rFonts w:ascii="Times New Roman" w:hAnsi="Times New Roman" w:cs="Times New Roman"/>
          <w:sz w:val="24"/>
          <w:szCs w:val="24"/>
          <w:lang w:val="tr-TR"/>
        </w:rPr>
        <w:t xml:space="preserve"> en yüksek</w:t>
      </w:r>
      <w:r w:rsidR="002F655A">
        <w:rPr>
          <w:rFonts w:ascii="Times New Roman" w:hAnsi="Times New Roman" w:cs="Times New Roman"/>
          <w:sz w:val="24"/>
          <w:szCs w:val="24"/>
          <w:lang w:val="tr-TR"/>
        </w:rPr>
        <w:t xml:space="preserve"> olduğu</w:t>
      </w:r>
      <w:r w:rsidR="00E34245" w:rsidRPr="0011125B">
        <w:rPr>
          <w:rFonts w:ascii="Times New Roman" w:hAnsi="Times New Roman" w:cs="Times New Roman"/>
          <w:sz w:val="24"/>
          <w:szCs w:val="24"/>
          <w:lang w:val="tr-TR"/>
        </w:rPr>
        <w:t xml:space="preserve"> ürün grupları</w:t>
      </w:r>
      <w:r w:rsidR="0017326B">
        <w:rPr>
          <w:rFonts w:ascii="Times New Roman" w:hAnsi="Times New Roman" w:cs="Times New Roman"/>
          <w:sz w:val="24"/>
          <w:szCs w:val="24"/>
          <w:lang w:val="tr-TR"/>
        </w:rPr>
        <w:t xml:space="preserve">nın sırasıyla </w:t>
      </w:r>
      <w:r>
        <w:rPr>
          <w:rFonts w:ascii="Times New Roman" w:hAnsi="Times New Roman" w:cs="Times New Roman"/>
          <w:sz w:val="24"/>
          <w:szCs w:val="24"/>
          <w:lang w:val="tr-TR"/>
        </w:rPr>
        <w:t xml:space="preserve">kırtasiye (20 ürün partisi) ve </w:t>
      </w:r>
      <w:r>
        <w:rPr>
          <w:rFonts w:ascii="Times New Roman" w:hAnsi="Times New Roman" w:cs="Times New Roman"/>
          <w:color w:val="000000" w:themeColor="text1"/>
          <w:sz w:val="24"/>
          <w:szCs w:val="24"/>
          <w:lang w:val="tr-TR"/>
        </w:rPr>
        <w:t>hazır beton dışındaki yapı malzemeleri (2 ürün partisi)</w:t>
      </w:r>
      <w:r w:rsidRPr="008F1C1E">
        <w:rPr>
          <w:rFonts w:ascii="Times New Roman" w:hAnsi="Times New Roman" w:cs="Times New Roman"/>
          <w:color w:val="000000" w:themeColor="text1"/>
          <w:sz w:val="24"/>
          <w:szCs w:val="24"/>
          <w:lang w:val="tr-TR"/>
        </w:rPr>
        <w:t xml:space="preserve"> </w:t>
      </w:r>
      <w:r w:rsidR="0017326B" w:rsidRPr="008F1C1E">
        <w:rPr>
          <w:rFonts w:ascii="Times New Roman" w:hAnsi="Times New Roman" w:cs="Times New Roman"/>
          <w:color w:val="000000" w:themeColor="text1"/>
          <w:sz w:val="24"/>
          <w:szCs w:val="24"/>
          <w:lang w:val="tr-TR"/>
        </w:rPr>
        <w:t xml:space="preserve">olduğu görülmektedir. </w:t>
      </w:r>
    </w:p>
    <w:p w:rsidR="00DB27FE" w:rsidRPr="008F1C1E" w:rsidRDefault="00DB27FE" w:rsidP="00394B52">
      <w:pPr>
        <w:spacing w:after="0" w:line="240" w:lineRule="auto"/>
        <w:jc w:val="both"/>
        <w:rPr>
          <w:rFonts w:ascii="Times New Roman" w:hAnsi="Times New Roman" w:cs="Times New Roman"/>
          <w:color w:val="000000" w:themeColor="text1"/>
          <w:sz w:val="24"/>
          <w:szCs w:val="24"/>
          <w:lang w:val="tr-TR"/>
        </w:rPr>
      </w:pPr>
    </w:p>
    <w:p w:rsidR="00491E53" w:rsidRDefault="00753B3E" w:rsidP="00C02FD2">
      <w:pPr>
        <w:jc w:val="both"/>
      </w:pPr>
      <w:r>
        <w:rPr>
          <w:noProof/>
          <w:lang w:val="tr-TR" w:eastAsia="tr-TR"/>
        </w:rPr>
        <w:drawing>
          <wp:inline distT="0" distB="0" distL="0" distR="0" wp14:anchorId="74A59057" wp14:editId="21AFE437">
            <wp:extent cx="5676900" cy="2047875"/>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1143" w:rsidRPr="00E34245" w:rsidRDefault="00350073" w:rsidP="00E34245">
      <w:pPr>
        <w:jc w:val="both"/>
        <w:rPr>
          <w:rFonts w:ascii="Times New Roman" w:hAnsi="Times New Roman" w:cs="Times New Roman"/>
          <w:sz w:val="24"/>
          <w:szCs w:val="24"/>
        </w:rPr>
      </w:pPr>
      <w:r>
        <w:rPr>
          <w:rFonts w:ascii="Times New Roman" w:hAnsi="Times New Roman" w:cs="Times New Roman"/>
          <w:sz w:val="24"/>
          <w:szCs w:val="24"/>
        </w:rPr>
        <w:t>2021</w:t>
      </w:r>
      <w:r w:rsidR="00E34245" w:rsidRPr="00E34245">
        <w:rPr>
          <w:rFonts w:ascii="Times New Roman" w:hAnsi="Times New Roman" w:cs="Times New Roman"/>
          <w:sz w:val="24"/>
          <w:szCs w:val="24"/>
        </w:rPr>
        <w:t xml:space="preserve"> yılı</w:t>
      </w:r>
      <w:r w:rsidR="003D1330">
        <w:rPr>
          <w:rFonts w:ascii="Times New Roman" w:hAnsi="Times New Roman" w:cs="Times New Roman"/>
          <w:sz w:val="24"/>
          <w:szCs w:val="24"/>
        </w:rPr>
        <w:t xml:space="preserve"> </w:t>
      </w:r>
      <w:r>
        <w:rPr>
          <w:rFonts w:ascii="Times New Roman" w:hAnsi="Times New Roman" w:cs="Times New Roman"/>
          <w:sz w:val="24"/>
          <w:szCs w:val="24"/>
        </w:rPr>
        <w:t>ikinci</w:t>
      </w:r>
      <w:r w:rsidR="003C75B5">
        <w:rPr>
          <w:rFonts w:ascii="Times New Roman" w:hAnsi="Times New Roman" w:cs="Times New Roman"/>
          <w:sz w:val="24"/>
          <w:szCs w:val="24"/>
        </w:rPr>
        <w:t xml:space="preserve"> </w:t>
      </w:r>
      <w:r w:rsidR="00A235A2">
        <w:rPr>
          <w:rFonts w:ascii="Times New Roman" w:hAnsi="Times New Roman" w:cs="Times New Roman"/>
          <w:sz w:val="24"/>
          <w:szCs w:val="24"/>
        </w:rPr>
        <w:t>üç</w:t>
      </w:r>
      <w:r w:rsidR="003D1330">
        <w:rPr>
          <w:rFonts w:ascii="Times New Roman" w:hAnsi="Times New Roman" w:cs="Times New Roman"/>
          <w:sz w:val="24"/>
          <w:szCs w:val="24"/>
        </w:rPr>
        <w:t xml:space="preserve"> </w:t>
      </w:r>
      <w:r w:rsidR="00A235A2">
        <w:rPr>
          <w:rFonts w:ascii="Times New Roman" w:hAnsi="Times New Roman" w:cs="Times New Roman"/>
          <w:sz w:val="24"/>
          <w:szCs w:val="24"/>
        </w:rPr>
        <w:t>ayında</w:t>
      </w:r>
      <w:r w:rsidR="003D1330">
        <w:rPr>
          <w:rFonts w:ascii="Times New Roman" w:hAnsi="Times New Roman" w:cs="Times New Roman"/>
          <w:sz w:val="24"/>
          <w:szCs w:val="24"/>
        </w:rPr>
        <w:t xml:space="preserve"> </w:t>
      </w:r>
      <w:r>
        <w:rPr>
          <w:rFonts w:ascii="Times New Roman" w:hAnsi="Times New Roman" w:cs="Times New Roman"/>
          <w:sz w:val="24"/>
          <w:szCs w:val="24"/>
        </w:rPr>
        <w:t xml:space="preserve">kişisel koruyucu donanımlarda 10, hazır betonda 9 ve oyuncaklarda 3 </w:t>
      </w:r>
      <w:r w:rsidR="003D1330">
        <w:rPr>
          <w:rFonts w:ascii="Times New Roman" w:hAnsi="Times New Roman" w:cs="Times New Roman"/>
          <w:color w:val="000000" w:themeColor="text1"/>
          <w:sz w:val="24"/>
          <w:szCs w:val="24"/>
          <w:lang w:val="tr-TR"/>
        </w:rPr>
        <w:t xml:space="preserve">ürün partisinde </w:t>
      </w:r>
      <w:r w:rsidR="00E34245" w:rsidRPr="00E34245">
        <w:rPr>
          <w:rFonts w:ascii="Times New Roman" w:hAnsi="Times New Roman" w:cs="Times New Roman"/>
          <w:sz w:val="24"/>
          <w:szCs w:val="24"/>
        </w:rPr>
        <w:t>güvensizlik</w:t>
      </w:r>
      <w:r w:rsidR="003D1330">
        <w:rPr>
          <w:rFonts w:ascii="Times New Roman" w:hAnsi="Times New Roman" w:cs="Times New Roman"/>
          <w:sz w:val="24"/>
          <w:szCs w:val="24"/>
        </w:rPr>
        <w:t xml:space="preserve"> </w:t>
      </w:r>
      <w:r w:rsidR="00E34245" w:rsidRPr="00E34245">
        <w:rPr>
          <w:rFonts w:ascii="Times New Roman" w:hAnsi="Times New Roman" w:cs="Times New Roman"/>
          <w:sz w:val="24"/>
          <w:szCs w:val="24"/>
        </w:rPr>
        <w:t>tespit</w:t>
      </w:r>
      <w:r w:rsidR="003D1330">
        <w:rPr>
          <w:rFonts w:ascii="Times New Roman" w:hAnsi="Times New Roman" w:cs="Times New Roman"/>
          <w:sz w:val="24"/>
          <w:szCs w:val="24"/>
        </w:rPr>
        <w:t xml:space="preserve"> </w:t>
      </w:r>
      <w:r w:rsidR="00E34245" w:rsidRPr="00E34245">
        <w:rPr>
          <w:rFonts w:ascii="Times New Roman" w:hAnsi="Times New Roman" w:cs="Times New Roman"/>
          <w:sz w:val="24"/>
          <w:szCs w:val="24"/>
        </w:rPr>
        <w:t>edilmiştir.</w:t>
      </w:r>
    </w:p>
    <w:p w:rsidR="0011125B" w:rsidRPr="00390EAF" w:rsidRDefault="00390EAF" w:rsidP="00390EAF">
      <w:pPr>
        <w:jc w:val="both"/>
        <w:rPr>
          <w:rFonts w:ascii="Times New Roman" w:hAnsi="Times New Roman" w:cs="Times New Roman"/>
          <w:sz w:val="24"/>
          <w:szCs w:val="24"/>
          <w:lang w:val="tr-TR"/>
        </w:rPr>
      </w:pPr>
      <w:r>
        <w:rPr>
          <w:rFonts w:ascii="Times New Roman" w:hAnsi="Times New Roman" w:cs="Times New Roman"/>
          <w:sz w:val="24"/>
          <w:szCs w:val="24"/>
        </w:rPr>
        <w:t>Bununla birlikte,</w:t>
      </w:r>
      <w:r w:rsidR="00A72B26">
        <w:rPr>
          <w:rFonts w:ascii="Times New Roman" w:hAnsi="Times New Roman" w:cs="Times New Roman"/>
          <w:sz w:val="24"/>
          <w:szCs w:val="24"/>
        </w:rPr>
        <w:t xml:space="preserve"> </w:t>
      </w:r>
      <w:r w:rsidR="00A72B26">
        <w:rPr>
          <w:rFonts w:ascii="Times New Roman" w:hAnsi="Times New Roman" w:cs="Times New Roman"/>
          <w:sz w:val="24"/>
          <w:szCs w:val="24"/>
          <w:lang w:val="tr-TR"/>
        </w:rPr>
        <w:t xml:space="preserve">PGD kuruluşlarından yalnızca oyuncak ürün grubuna yönelik ithal güvensizlik verisi temin edilmiştir. </w:t>
      </w:r>
      <w:r w:rsidR="00021143" w:rsidRPr="000955E0">
        <w:rPr>
          <w:rFonts w:ascii="Times New Roman" w:hAnsi="Times New Roman" w:cs="Times New Roman"/>
          <w:sz w:val="24"/>
          <w:szCs w:val="24"/>
          <w:lang w:val="tr-TR"/>
        </w:rPr>
        <w:t xml:space="preserve"> </w:t>
      </w:r>
      <w:r w:rsidR="00A72B26" w:rsidRPr="000955E0">
        <w:rPr>
          <w:rFonts w:ascii="Times New Roman" w:hAnsi="Times New Roman" w:cs="Times New Roman"/>
          <w:sz w:val="24"/>
          <w:szCs w:val="24"/>
          <w:lang w:val="tr-TR"/>
        </w:rPr>
        <w:t>Denetlenen</w:t>
      </w:r>
      <w:r w:rsidR="00021143" w:rsidRPr="000955E0">
        <w:rPr>
          <w:rFonts w:ascii="Times New Roman" w:hAnsi="Times New Roman" w:cs="Times New Roman"/>
          <w:sz w:val="24"/>
          <w:szCs w:val="24"/>
          <w:lang w:val="tr-TR"/>
        </w:rPr>
        <w:t xml:space="preserve"> ithal ürünl</w:t>
      </w:r>
      <w:r w:rsidR="00A235A2">
        <w:rPr>
          <w:rFonts w:ascii="Times New Roman" w:hAnsi="Times New Roman" w:cs="Times New Roman"/>
          <w:sz w:val="24"/>
          <w:szCs w:val="24"/>
          <w:lang w:val="tr-TR"/>
        </w:rPr>
        <w:t xml:space="preserve">erden </w:t>
      </w:r>
      <w:r w:rsidR="00A72B26">
        <w:rPr>
          <w:rFonts w:ascii="Times New Roman" w:hAnsi="Times New Roman" w:cs="Times New Roman"/>
          <w:sz w:val="24"/>
          <w:szCs w:val="24"/>
          <w:lang w:val="tr-TR"/>
        </w:rPr>
        <w:t>oyuncaklarda</w:t>
      </w:r>
      <w:r w:rsidR="00743E89">
        <w:rPr>
          <w:rFonts w:ascii="Times New Roman" w:hAnsi="Times New Roman" w:cs="Times New Roman"/>
          <w:sz w:val="24"/>
          <w:szCs w:val="24"/>
          <w:lang w:val="tr-TR"/>
        </w:rPr>
        <w:t xml:space="preserve"> </w:t>
      </w:r>
      <w:r w:rsidR="00A72B26">
        <w:rPr>
          <w:rFonts w:ascii="Times New Roman" w:hAnsi="Times New Roman" w:cs="Times New Roman"/>
          <w:sz w:val="24"/>
          <w:szCs w:val="24"/>
          <w:lang w:val="tr-TR"/>
        </w:rPr>
        <w:t>3</w:t>
      </w:r>
      <w:r w:rsidR="00743E89">
        <w:rPr>
          <w:rFonts w:ascii="Times New Roman" w:hAnsi="Times New Roman" w:cs="Times New Roman"/>
          <w:sz w:val="24"/>
          <w:szCs w:val="24"/>
          <w:lang w:val="tr-TR"/>
        </w:rPr>
        <w:t xml:space="preserve"> ürün partisinde g</w:t>
      </w:r>
      <w:r w:rsidR="003C75B5">
        <w:rPr>
          <w:rFonts w:ascii="Times New Roman" w:hAnsi="Times New Roman" w:cs="Times New Roman"/>
          <w:sz w:val="24"/>
          <w:szCs w:val="24"/>
          <w:lang w:val="tr-TR"/>
        </w:rPr>
        <w:t>üvensizlik tespit edilmiştir.</w:t>
      </w:r>
      <w:r w:rsidR="00021143" w:rsidRPr="000955E0">
        <w:rPr>
          <w:rFonts w:ascii="Times New Roman" w:hAnsi="Times New Roman" w:cs="Times New Roman"/>
          <w:sz w:val="24"/>
          <w:szCs w:val="24"/>
          <w:lang w:val="tr-TR"/>
        </w:rPr>
        <w:t xml:space="preserve"> Söz konusu </w:t>
      </w:r>
      <w:r w:rsidR="003C75B5">
        <w:rPr>
          <w:rFonts w:ascii="Times New Roman" w:hAnsi="Times New Roman" w:cs="Times New Roman"/>
          <w:sz w:val="24"/>
          <w:szCs w:val="24"/>
          <w:lang w:val="tr-TR"/>
        </w:rPr>
        <w:t xml:space="preserve">güvensizlik </w:t>
      </w:r>
      <w:r w:rsidR="00021143" w:rsidRPr="000955E0">
        <w:rPr>
          <w:rFonts w:ascii="Times New Roman" w:hAnsi="Times New Roman" w:cs="Times New Roman"/>
          <w:sz w:val="24"/>
          <w:szCs w:val="24"/>
          <w:lang w:val="tr-TR"/>
        </w:rPr>
        <w:t>veriler</w:t>
      </w:r>
      <w:r w:rsidR="003C75B5">
        <w:rPr>
          <w:rFonts w:ascii="Times New Roman" w:hAnsi="Times New Roman" w:cs="Times New Roman"/>
          <w:sz w:val="24"/>
          <w:szCs w:val="24"/>
          <w:lang w:val="tr-TR"/>
        </w:rPr>
        <w:t>i</w:t>
      </w:r>
      <w:r w:rsidR="00021143" w:rsidRPr="000955E0">
        <w:rPr>
          <w:rFonts w:ascii="Times New Roman" w:hAnsi="Times New Roman" w:cs="Times New Roman"/>
          <w:sz w:val="24"/>
          <w:szCs w:val="24"/>
          <w:lang w:val="tr-TR"/>
        </w:rPr>
        <w:t xml:space="preserve"> ithalat denetimlerinin yönlendirilmesinde de etkin rol oynamaktadır.</w:t>
      </w:r>
    </w:p>
    <w:p w:rsidR="003C75B5" w:rsidRPr="000955E0" w:rsidRDefault="003C75B5" w:rsidP="0011125B">
      <w:pPr>
        <w:spacing w:after="0" w:line="240" w:lineRule="auto"/>
        <w:jc w:val="both"/>
        <w:rPr>
          <w:rFonts w:ascii="Times New Roman" w:hAnsi="Times New Roman" w:cs="Times New Roman"/>
          <w:color w:val="000000" w:themeColor="text1"/>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AB3D1C" w:rsidRDefault="00AB3D1C" w:rsidP="00082FFE">
      <w:pPr>
        <w:spacing w:after="0" w:line="240" w:lineRule="auto"/>
        <w:jc w:val="both"/>
        <w:rPr>
          <w:rFonts w:ascii="Times New Roman" w:hAnsi="Times New Roman" w:cs="Times New Roman"/>
          <w:color w:val="000000" w:themeColor="text1"/>
          <w:sz w:val="24"/>
          <w:szCs w:val="24"/>
          <w:lang w:val="tr-TR"/>
        </w:rPr>
      </w:pPr>
    </w:p>
    <w:p w:rsidR="0011125B" w:rsidRPr="00CD299E" w:rsidRDefault="00500E55"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2612EE">
        <w:rPr>
          <w:rFonts w:ascii="Times New Roman" w:hAnsi="Times New Roman" w:cs="Times New Roman"/>
          <w:color w:val="000000" w:themeColor="text1"/>
          <w:sz w:val="24"/>
          <w:szCs w:val="24"/>
          <w:lang w:val="tr-TR"/>
        </w:rPr>
        <w:t xml:space="preserve">TOB </w:t>
      </w:r>
      <w:r w:rsidR="002612EE" w:rsidRPr="00CD299E">
        <w:rPr>
          <w:rFonts w:ascii="Times New Roman" w:hAnsi="Times New Roman" w:cs="Times New Roman"/>
          <w:color w:val="000000" w:themeColor="text1"/>
          <w:sz w:val="24"/>
          <w:szCs w:val="24"/>
          <w:lang w:val="tr-TR"/>
        </w:rPr>
        <w:t>tarafından</w:t>
      </w:r>
      <w:r w:rsidR="00B82971" w:rsidRPr="00CD299E">
        <w:rPr>
          <w:rFonts w:ascii="Times New Roman" w:hAnsi="Times New Roman" w:cs="Times New Roman"/>
          <w:color w:val="000000" w:themeColor="text1"/>
          <w:sz w:val="24"/>
          <w:szCs w:val="24"/>
          <w:lang w:val="tr-TR"/>
        </w:rPr>
        <w:t>,</w:t>
      </w:r>
      <w:r w:rsidR="000A096F">
        <w:rPr>
          <w:rFonts w:ascii="Times New Roman" w:hAnsi="Times New Roman" w:cs="Times New Roman"/>
          <w:color w:val="000000" w:themeColor="text1"/>
          <w:sz w:val="24"/>
          <w:szCs w:val="24"/>
          <w:lang w:val="tr-TR"/>
        </w:rPr>
        <w:t xml:space="preserve"> </w:t>
      </w:r>
      <w:r w:rsidR="00873A82" w:rsidRPr="00233C86">
        <w:rPr>
          <w:rFonts w:ascii="Times New Roman" w:hAnsi="Times New Roman" w:cs="Times New Roman"/>
          <w:b/>
          <w:color w:val="000000" w:themeColor="text1"/>
          <w:sz w:val="24"/>
          <w:szCs w:val="24"/>
          <w:lang w:val="tr-TR"/>
        </w:rPr>
        <w:t>kimyevi ve organik gübreler</w:t>
      </w:r>
      <w:r w:rsidR="00AB3D1C">
        <w:rPr>
          <w:rFonts w:ascii="Times New Roman" w:hAnsi="Times New Roman" w:cs="Times New Roman"/>
          <w:b/>
          <w:color w:val="000000" w:themeColor="text1"/>
          <w:sz w:val="24"/>
          <w:szCs w:val="24"/>
          <w:lang w:val="tr-TR"/>
        </w:rPr>
        <w:t xml:space="preserve"> </w:t>
      </w:r>
      <w:r w:rsidR="00A72B26">
        <w:rPr>
          <w:rFonts w:ascii="Times New Roman" w:hAnsi="Times New Roman" w:cs="Times New Roman"/>
          <w:color w:val="000000" w:themeColor="text1"/>
          <w:sz w:val="24"/>
          <w:szCs w:val="24"/>
          <w:lang w:val="tr-TR"/>
        </w:rPr>
        <w:t>ürün grubunda 2.381’i</w:t>
      </w:r>
      <w:r w:rsidRPr="00CD299E">
        <w:rPr>
          <w:rFonts w:ascii="Times New Roman" w:hAnsi="Times New Roman" w:cs="Times New Roman"/>
          <w:color w:val="000000" w:themeColor="text1"/>
          <w:sz w:val="24"/>
          <w:szCs w:val="24"/>
          <w:lang w:val="tr-TR"/>
        </w:rPr>
        <w:t xml:space="preserve"> ithal olmak üzere </w:t>
      </w:r>
      <w:r w:rsidR="00A72B26">
        <w:rPr>
          <w:rFonts w:ascii="Times New Roman" w:hAnsi="Times New Roman" w:cs="Times New Roman"/>
          <w:color w:val="000000" w:themeColor="text1"/>
          <w:sz w:val="24"/>
          <w:szCs w:val="24"/>
          <w:lang w:val="tr-TR"/>
        </w:rPr>
        <w:t>8.513</w:t>
      </w:r>
      <w:r w:rsidRPr="00CD299E">
        <w:rPr>
          <w:rFonts w:ascii="Times New Roman" w:hAnsi="Times New Roman" w:cs="Times New Roman"/>
          <w:color w:val="000000" w:themeColor="text1"/>
          <w:sz w:val="24"/>
          <w:szCs w:val="24"/>
          <w:lang w:val="tr-TR"/>
        </w:rPr>
        <w:t xml:space="preserve"> ürün partisi denetlenmiş, </w:t>
      </w:r>
      <w:r w:rsidR="00B42832">
        <w:rPr>
          <w:rFonts w:ascii="Times New Roman" w:hAnsi="Times New Roman" w:cs="Times New Roman"/>
          <w:color w:val="000000" w:themeColor="text1"/>
          <w:sz w:val="24"/>
          <w:szCs w:val="24"/>
          <w:lang w:val="tr-TR"/>
        </w:rPr>
        <w:t>95</w:t>
      </w:r>
      <w:r w:rsidR="00154FBF">
        <w:rPr>
          <w:rFonts w:ascii="Times New Roman" w:hAnsi="Times New Roman" w:cs="Times New Roman"/>
          <w:color w:val="000000" w:themeColor="text1"/>
          <w:sz w:val="24"/>
          <w:szCs w:val="24"/>
          <w:lang w:val="tr-TR"/>
        </w:rPr>
        <w:t xml:space="preserve"> adet test yapılmış ve </w:t>
      </w:r>
      <w:r w:rsidR="00A72B26">
        <w:rPr>
          <w:rFonts w:ascii="Times New Roman" w:hAnsi="Times New Roman" w:cs="Times New Roman"/>
          <w:color w:val="000000" w:themeColor="text1"/>
          <w:sz w:val="24"/>
          <w:szCs w:val="24"/>
          <w:lang w:val="tr-TR"/>
        </w:rPr>
        <w:t>27</w:t>
      </w:r>
      <w:r w:rsidR="00CD299E">
        <w:rPr>
          <w:rFonts w:ascii="Times New Roman" w:hAnsi="Times New Roman" w:cs="Times New Roman"/>
          <w:color w:val="000000" w:themeColor="text1"/>
          <w:sz w:val="24"/>
          <w:szCs w:val="24"/>
          <w:lang w:val="tr-TR"/>
        </w:rPr>
        <w:t xml:space="preserve"> ürün partisi</w:t>
      </w:r>
      <w:r w:rsidRPr="00CD299E">
        <w:rPr>
          <w:rFonts w:ascii="Times New Roman" w:hAnsi="Times New Roman" w:cs="Times New Roman"/>
          <w:color w:val="000000" w:themeColor="text1"/>
          <w:sz w:val="24"/>
          <w:szCs w:val="24"/>
          <w:lang w:val="tr-TR"/>
        </w:rPr>
        <w:t xml:space="preserve"> uygunsuz</w:t>
      </w:r>
      <w:r w:rsidR="00154FBF">
        <w:rPr>
          <w:rFonts w:ascii="Times New Roman" w:hAnsi="Times New Roman" w:cs="Times New Roman"/>
          <w:color w:val="000000" w:themeColor="text1"/>
          <w:sz w:val="24"/>
          <w:szCs w:val="24"/>
          <w:lang w:val="tr-TR"/>
        </w:rPr>
        <w:t xml:space="preserve"> </w:t>
      </w:r>
      <w:r w:rsidRPr="00CD299E">
        <w:rPr>
          <w:rFonts w:ascii="Times New Roman" w:hAnsi="Times New Roman" w:cs="Times New Roman"/>
          <w:color w:val="000000" w:themeColor="text1"/>
          <w:sz w:val="24"/>
          <w:szCs w:val="24"/>
          <w:lang w:val="tr-TR"/>
        </w:rPr>
        <w:t>bulunmuştur</w:t>
      </w:r>
      <w:r w:rsidR="00CD299E">
        <w:rPr>
          <w:rFonts w:ascii="Times New Roman" w:hAnsi="Times New Roman" w:cs="Times New Roman"/>
          <w:color w:val="000000" w:themeColor="text1"/>
          <w:sz w:val="24"/>
          <w:szCs w:val="24"/>
          <w:lang w:val="tr-TR"/>
        </w:rPr>
        <w:t xml:space="preserve">. </w:t>
      </w:r>
      <w:r w:rsidR="00233C86">
        <w:rPr>
          <w:rFonts w:ascii="Times New Roman" w:hAnsi="Times New Roman" w:cs="Times New Roman"/>
          <w:color w:val="000000" w:themeColor="text1"/>
          <w:sz w:val="24"/>
          <w:szCs w:val="24"/>
          <w:lang w:val="tr-TR"/>
        </w:rPr>
        <w:t>Söz konusu ürün grubunda</w:t>
      </w:r>
      <w:r w:rsidR="00AB3D1C">
        <w:rPr>
          <w:rFonts w:ascii="Times New Roman" w:hAnsi="Times New Roman" w:cs="Times New Roman"/>
          <w:color w:val="000000" w:themeColor="text1"/>
          <w:sz w:val="24"/>
          <w:szCs w:val="24"/>
          <w:lang w:val="tr-TR"/>
        </w:rPr>
        <w:t xml:space="preserve"> tespit edilen uygunsuzluklara </w:t>
      </w:r>
      <w:r w:rsidR="00A72B26">
        <w:rPr>
          <w:rFonts w:ascii="Times New Roman" w:hAnsi="Times New Roman" w:cs="Times New Roman"/>
          <w:color w:val="000000" w:themeColor="text1"/>
          <w:sz w:val="24"/>
          <w:szCs w:val="24"/>
          <w:lang w:val="tr-TR"/>
        </w:rPr>
        <w:t>509.400</w:t>
      </w:r>
      <w:r w:rsidR="00233C86">
        <w:rPr>
          <w:rFonts w:ascii="Times New Roman" w:hAnsi="Times New Roman" w:cs="Times New Roman"/>
          <w:color w:val="000000" w:themeColor="text1"/>
          <w:sz w:val="24"/>
          <w:szCs w:val="24"/>
          <w:lang w:val="tr-TR"/>
        </w:rPr>
        <w:t xml:space="preserve"> TL </w:t>
      </w:r>
      <w:r w:rsidRPr="00CD299E">
        <w:rPr>
          <w:rFonts w:ascii="Times New Roman" w:hAnsi="Times New Roman" w:cs="Times New Roman"/>
          <w:color w:val="000000" w:themeColor="text1"/>
          <w:sz w:val="24"/>
          <w:szCs w:val="24"/>
          <w:lang w:val="tr-TR"/>
        </w:rPr>
        <w:t>idari para cezası uygulanmıştır.</w:t>
      </w:r>
      <w:r w:rsidR="00082FFE">
        <w:rPr>
          <w:rFonts w:ascii="Times New Roman" w:hAnsi="Times New Roman" w:cs="Times New Roman"/>
          <w:color w:val="000000" w:themeColor="text1"/>
          <w:sz w:val="24"/>
          <w:szCs w:val="24"/>
          <w:lang w:val="tr-TR"/>
        </w:rPr>
        <w:t xml:space="preserve"> </w:t>
      </w:r>
    </w:p>
    <w:p w:rsidR="00873A82" w:rsidRPr="00B12ADD" w:rsidRDefault="00873A82" w:rsidP="0011125B">
      <w:pPr>
        <w:spacing w:after="0" w:line="240" w:lineRule="auto"/>
        <w:jc w:val="both"/>
        <w:rPr>
          <w:rFonts w:ascii="Times New Roman" w:hAnsi="Times New Roman" w:cs="Times New Roman"/>
          <w:color w:val="000000" w:themeColor="text1"/>
          <w:sz w:val="24"/>
          <w:szCs w:val="24"/>
          <w:lang w:val="tr-TR"/>
        </w:rPr>
      </w:pPr>
    </w:p>
    <w:sectPr w:rsidR="00873A82" w:rsidRPr="00B12ADD"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9C" w:rsidRDefault="00A3289C" w:rsidP="00873A82">
      <w:pPr>
        <w:spacing w:after="0" w:line="240" w:lineRule="auto"/>
      </w:pPr>
      <w:r>
        <w:separator/>
      </w:r>
    </w:p>
  </w:endnote>
  <w:endnote w:type="continuationSeparator" w:id="0">
    <w:p w:rsidR="00A3289C" w:rsidRDefault="00A3289C"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9C" w:rsidRDefault="00A3289C" w:rsidP="00873A82">
      <w:pPr>
        <w:spacing w:after="0" w:line="240" w:lineRule="auto"/>
      </w:pPr>
      <w:r>
        <w:separator/>
      </w:r>
    </w:p>
  </w:footnote>
  <w:footnote w:type="continuationSeparator" w:id="0">
    <w:p w:rsidR="00A3289C" w:rsidRDefault="00A3289C" w:rsidP="0087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02193"/>
    <w:rsid w:val="00021143"/>
    <w:rsid w:val="00023AA6"/>
    <w:rsid w:val="0003009C"/>
    <w:rsid w:val="00061060"/>
    <w:rsid w:val="000637AE"/>
    <w:rsid w:val="00077C05"/>
    <w:rsid w:val="00082FFE"/>
    <w:rsid w:val="000955E0"/>
    <w:rsid w:val="000A096F"/>
    <w:rsid w:val="000D0B90"/>
    <w:rsid w:val="000D39A9"/>
    <w:rsid w:val="000D441E"/>
    <w:rsid w:val="0011125B"/>
    <w:rsid w:val="00122473"/>
    <w:rsid w:val="00123958"/>
    <w:rsid w:val="0013630D"/>
    <w:rsid w:val="00136A0C"/>
    <w:rsid w:val="00143CC8"/>
    <w:rsid w:val="00151717"/>
    <w:rsid w:val="00154FBF"/>
    <w:rsid w:val="00162546"/>
    <w:rsid w:val="0017326B"/>
    <w:rsid w:val="00176398"/>
    <w:rsid w:val="001803AF"/>
    <w:rsid w:val="00187169"/>
    <w:rsid w:val="00191CB0"/>
    <w:rsid w:val="00191E5D"/>
    <w:rsid w:val="0019429B"/>
    <w:rsid w:val="00197CA3"/>
    <w:rsid w:val="001D048E"/>
    <w:rsid w:val="001D4DE7"/>
    <w:rsid w:val="001E0FB8"/>
    <w:rsid w:val="001E63B7"/>
    <w:rsid w:val="00205B44"/>
    <w:rsid w:val="00214E8B"/>
    <w:rsid w:val="002225FE"/>
    <w:rsid w:val="00231CAC"/>
    <w:rsid w:val="00233C86"/>
    <w:rsid w:val="0023775A"/>
    <w:rsid w:val="002612EE"/>
    <w:rsid w:val="00297074"/>
    <w:rsid w:val="002B0E1F"/>
    <w:rsid w:val="002C330B"/>
    <w:rsid w:val="002C76BA"/>
    <w:rsid w:val="002D13A4"/>
    <w:rsid w:val="002E30B3"/>
    <w:rsid w:val="002E68DA"/>
    <w:rsid w:val="002E6B67"/>
    <w:rsid w:val="002E778C"/>
    <w:rsid w:val="002F223F"/>
    <w:rsid w:val="002F27D9"/>
    <w:rsid w:val="002F655A"/>
    <w:rsid w:val="003132AE"/>
    <w:rsid w:val="00347D0A"/>
    <w:rsid w:val="00350073"/>
    <w:rsid w:val="0035424F"/>
    <w:rsid w:val="0036575F"/>
    <w:rsid w:val="00373D85"/>
    <w:rsid w:val="00390EAF"/>
    <w:rsid w:val="00393CF1"/>
    <w:rsid w:val="00394B52"/>
    <w:rsid w:val="003C75B5"/>
    <w:rsid w:val="003D1330"/>
    <w:rsid w:val="004106C7"/>
    <w:rsid w:val="004118AC"/>
    <w:rsid w:val="0041233A"/>
    <w:rsid w:val="00415DE6"/>
    <w:rsid w:val="00420F04"/>
    <w:rsid w:val="004306CF"/>
    <w:rsid w:val="00442FD6"/>
    <w:rsid w:val="00450643"/>
    <w:rsid w:val="00463A6A"/>
    <w:rsid w:val="0047279B"/>
    <w:rsid w:val="0047522B"/>
    <w:rsid w:val="00491E53"/>
    <w:rsid w:val="00494BEF"/>
    <w:rsid w:val="004B36E2"/>
    <w:rsid w:val="004F3276"/>
    <w:rsid w:val="00500384"/>
    <w:rsid w:val="00500E55"/>
    <w:rsid w:val="00510484"/>
    <w:rsid w:val="005252A2"/>
    <w:rsid w:val="00537B34"/>
    <w:rsid w:val="00540AF9"/>
    <w:rsid w:val="005411C1"/>
    <w:rsid w:val="00547EDE"/>
    <w:rsid w:val="00552100"/>
    <w:rsid w:val="005547C4"/>
    <w:rsid w:val="00574A8E"/>
    <w:rsid w:val="005767D8"/>
    <w:rsid w:val="005A4711"/>
    <w:rsid w:val="005B3CDF"/>
    <w:rsid w:val="005B75C7"/>
    <w:rsid w:val="005D4ED4"/>
    <w:rsid w:val="005F2F11"/>
    <w:rsid w:val="005F36FE"/>
    <w:rsid w:val="00603E63"/>
    <w:rsid w:val="00621E98"/>
    <w:rsid w:val="00626DC8"/>
    <w:rsid w:val="00635675"/>
    <w:rsid w:val="00653F2B"/>
    <w:rsid w:val="00664DF3"/>
    <w:rsid w:val="00671DFD"/>
    <w:rsid w:val="006766E2"/>
    <w:rsid w:val="00685500"/>
    <w:rsid w:val="006B040C"/>
    <w:rsid w:val="006B09BD"/>
    <w:rsid w:val="006C25C0"/>
    <w:rsid w:val="006C705F"/>
    <w:rsid w:val="006E063A"/>
    <w:rsid w:val="007019FE"/>
    <w:rsid w:val="0070392D"/>
    <w:rsid w:val="007144CC"/>
    <w:rsid w:val="007175EF"/>
    <w:rsid w:val="007301D1"/>
    <w:rsid w:val="0073154A"/>
    <w:rsid w:val="007429E0"/>
    <w:rsid w:val="00743E89"/>
    <w:rsid w:val="00753B3E"/>
    <w:rsid w:val="00764EDA"/>
    <w:rsid w:val="00780580"/>
    <w:rsid w:val="007807D5"/>
    <w:rsid w:val="0079290D"/>
    <w:rsid w:val="007935A0"/>
    <w:rsid w:val="00793609"/>
    <w:rsid w:val="007B076A"/>
    <w:rsid w:val="007C1122"/>
    <w:rsid w:val="007C2EB6"/>
    <w:rsid w:val="007E05CC"/>
    <w:rsid w:val="007E3808"/>
    <w:rsid w:val="007F1F49"/>
    <w:rsid w:val="007F2195"/>
    <w:rsid w:val="007F63C6"/>
    <w:rsid w:val="007F6586"/>
    <w:rsid w:val="00812B30"/>
    <w:rsid w:val="008178C6"/>
    <w:rsid w:val="00817C37"/>
    <w:rsid w:val="00825583"/>
    <w:rsid w:val="00832D90"/>
    <w:rsid w:val="00833B3D"/>
    <w:rsid w:val="00833D4E"/>
    <w:rsid w:val="00841AA9"/>
    <w:rsid w:val="00843C0B"/>
    <w:rsid w:val="008517F7"/>
    <w:rsid w:val="00871E85"/>
    <w:rsid w:val="00873A82"/>
    <w:rsid w:val="008750DB"/>
    <w:rsid w:val="008B0FAF"/>
    <w:rsid w:val="008B2B4E"/>
    <w:rsid w:val="008B31BC"/>
    <w:rsid w:val="008B4E84"/>
    <w:rsid w:val="008C35D8"/>
    <w:rsid w:val="008D2DFD"/>
    <w:rsid w:val="008E2DC1"/>
    <w:rsid w:val="008E46BA"/>
    <w:rsid w:val="008F033B"/>
    <w:rsid w:val="008F1C1E"/>
    <w:rsid w:val="00900F4E"/>
    <w:rsid w:val="00912DE5"/>
    <w:rsid w:val="00914B48"/>
    <w:rsid w:val="0092634D"/>
    <w:rsid w:val="00931C52"/>
    <w:rsid w:val="00933415"/>
    <w:rsid w:val="00945655"/>
    <w:rsid w:val="00947442"/>
    <w:rsid w:val="009536D3"/>
    <w:rsid w:val="00972CD3"/>
    <w:rsid w:val="009769F2"/>
    <w:rsid w:val="00985981"/>
    <w:rsid w:val="009909A8"/>
    <w:rsid w:val="00991A94"/>
    <w:rsid w:val="009A5BE1"/>
    <w:rsid w:val="009C758B"/>
    <w:rsid w:val="009D7273"/>
    <w:rsid w:val="009E2E1F"/>
    <w:rsid w:val="009F2175"/>
    <w:rsid w:val="00A077D6"/>
    <w:rsid w:val="00A1404F"/>
    <w:rsid w:val="00A14089"/>
    <w:rsid w:val="00A15D10"/>
    <w:rsid w:val="00A235A2"/>
    <w:rsid w:val="00A3289C"/>
    <w:rsid w:val="00A332DD"/>
    <w:rsid w:val="00A536A2"/>
    <w:rsid w:val="00A57ACA"/>
    <w:rsid w:val="00A70841"/>
    <w:rsid w:val="00A72B26"/>
    <w:rsid w:val="00A8058C"/>
    <w:rsid w:val="00A82013"/>
    <w:rsid w:val="00AA6201"/>
    <w:rsid w:val="00AA68AB"/>
    <w:rsid w:val="00AB0B26"/>
    <w:rsid w:val="00AB3B4E"/>
    <w:rsid w:val="00AB3D1C"/>
    <w:rsid w:val="00AE3BD3"/>
    <w:rsid w:val="00AE697F"/>
    <w:rsid w:val="00AF480C"/>
    <w:rsid w:val="00AF5A4E"/>
    <w:rsid w:val="00B12ADD"/>
    <w:rsid w:val="00B26B7D"/>
    <w:rsid w:val="00B37672"/>
    <w:rsid w:val="00B42832"/>
    <w:rsid w:val="00B5290F"/>
    <w:rsid w:val="00B54C28"/>
    <w:rsid w:val="00B740EE"/>
    <w:rsid w:val="00B82971"/>
    <w:rsid w:val="00B87236"/>
    <w:rsid w:val="00B950F6"/>
    <w:rsid w:val="00BA0391"/>
    <w:rsid w:val="00BA1622"/>
    <w:rsid w:val="00BA32DE"/>
    <w:rsid w:val="00BB2BCB"/>
    <w:rsid w:val="00BD7B99"/>
    <w:rsid w:val="00BE4AB9"/>
    <w:rsid w:val="00BF1548"/>
    <w:rsid w:val="00C012A0"/>
    <w:rsid w:val="00C02FB3"/>
    <w:rsid w:val="00C02FD2"/>
    <w:rsid w:val="00C31BE9"/>
    <w:rsid w:val="00C40EED"/>
    <w:rsid w:val="00C51101"/>
    <w:rsid w:val="00C5347A"/>
    <w:rsid w:val="00C7494D"/>
    <w:rsid w:val="00C77E43"/>
    <w:rsid w:val="00C927F7"/>
    <w:rsid w:val="00C97C88"/>
    <w:rsid w:val="00CA68C9"/>
    <w:rsid w:val="00CA7DD3"/>
    <w:rsid w:val="00CB141E"/>
    <w:rsid w:val="00CC1EFA"/>
    <w:rsid w:val="00CC5547"/>
    <w:rsid w:val="00CC76F7"/>
    <w:rsid w:val="00CD299E"/>
    <w:rsid w:val="00CF13FF"/>
    <w:rsid w:val="00CF31FC"/>
    <w:rsid w:val="00D039F2"/>
    <w:rsid w:val="00D077A3"/>
    <w:rsid w:val="00D206FC"/>
    <w:rsid w:val="00D27FBC"/>
    <w:rsid w:val="00D32BFC"/>
    <w:rsid w:val="00D401C9"/>
    <w:rsid w:val="00D50AFB"/>
    <w:rsid w:val="00D53031"/>
    <w:rsid w:val="00D923FA"/>
    <w:rsid w:val="00DA3567"/>
    <w:rsid w:val="00DA4FD5"/>
    <w:rsid w:val="00DA758D"/>
    <w:rsid w:val="00DB27FE"/>
    <w:rsid w:val="00DB4FE6"/>
    <w:rsid w:val="00DC3872"/>
    <w:rsid w:val="00DD557A"/>
    <w:rsid w:val="00DE28C3"/>
    <w:rsid w:val="00DE2BC4"/>
    <w:rsid w:val="00DE67C3"/>
    <w:rsid w:val="00E018B4"/>
    <w:rsid w:val="00E06E3B"/>
    <w:rsid w:val="00E34245"/>
    <w:rsid w:val="00E34D1E"/>
    <w:rsid w:val="00E364A9"/>
    <w:rsid w:val="00E3748C"/>
    <w:rsid w:val="00E452CF"/>
    <w:rsid w:val="00E5176D"/>
    <w:rsid w:val="00E63920"/>
    <w:rsid w:val="00E73796"/>
    <w:rsid w:val="00E737E7"/>
    <w:rsid w:val="00E90351"/>
    <w:rsid w:val="00E91208"/>
    <w:rsid w:val="00EA70F8"/>
    <w:rsid w:val="00EC17E6"/>
    <w:rsid w:val="00EC1E0F"/>
    <w:rsid w:val="00ED5877"/>
    <w:rsid w:val="00EE2FDA"/>
    <w:rsid w:val="00EE7E3B"/>
    <w:rsid w:val="00F070CB"/>
    <w:rsid w:val="00F21BF4"/>
    <w:rsid w:val="00F73D9E"/>
    <w:rsid w:val="00F77F3B"/>
    <w:rsid w:val="00F8471E"/>
    <w:rsid w:val="00F90089"/>
    <w:rsid w:val="00F9758A"/>
    <w:rsid w:val="00FA1335"/>
    <w:rsid w:val="00FA78DF"/>
    <w:rsid w:val="00FB184A"/>
    <w:rsid w:val="00FB1EE5"/>
    <w:rsid w:val="00FB2BF0"/>
    <w:rsid w:val="00FB32BB"/>
    <w:rsid w:val="00FB5D40"/>
    <w:rsid w:val="00FB5E6F"/>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F63A"/>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2021%202.%20&#252;&#231;%20ayl&#305;k\Grafik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2021%202.%20&#252;&#231;%20ayl&#305;k\Grafikler%20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1%202.%20&#252;&#231;%20ayl&#305;k\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021%202.%20&#252;&#231;%20ayl&#305;k\Grafikler%20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021%202.%20&#252;&#231;%20ayl&#305;k\Grafikler%20y.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1%202.%20&#252;&#231;%20ayl&#305;k\Grafik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D:\.............2021%202.%20&#252;&#231;%20ayl&#305;k\Grafik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D:\.............2021%202.%20&#252;&#231;%20ayl&#305;k\Grafikler.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309"/>
          <c:y val="2.646815550041361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GRAFİKLER!$A$2:$A$3</c:f>
              <c:numCache>
                <c:formatCode>mmm\-yy</c:formatCode>
                <c:ptCount val="1"/>
              </c:numCache>
            </c:numRef>
          </c:cat>
          <c:val>
            <c:numRef>
              <c:f>GRAFİKLER!$B$2:$B$3</c:f>
              <c:numCache>
                <c:formatCode>0</c:formatCode>
                <c:ptCount val="1"/>
                <c:pt idx="0">
                  <c:v>8782</c:v>
                </c:pt>
              </c:numCache>
            </c:numRef>
          </c:val>
          <c:extLst>
            <c:ext xmlns:c16="http://schemas.microsoft.com/office/drawing/2014/chart" uri="{C3380CC4-5D6E-409C-BE32-E72D297353CC}">
              <c16:uniqueId val="{00000000-1756-4788-9DF2-FBD3E7016DF8}"/>
            </c:ext>
          </c:extLst>
        </c:ser>
        <c:dLbls>
          <c:showLegendKey val="0"/>
          <c:showVal val="1"/>
          <c:showCatName val="0"/>
          <c:showSerName val="0"/>
          <c:showPercent val="0"/>
          <c:showBubbleSize val="0"/>
        </c:dLbls>
        <c:gapWidth val="65"/>
        <c:shape val="box"/>
        <c:axId val="114386816"/>
        <c:axId val="114388352"/>
        <c:axId val="0"/>
      </c:bar3DChart>
      <c:catAx>
        <c:axId val="11438681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9.7661519122925797E-2"/>
          <c:y val="4.5288589400708214E-2"/>
        </c:manualLayout>
      </c:layout>
      <c:overlay val="0"/>
      <c:spPr>
        <a:noFill/>
        <a:ln>
          <a:noFill/>
        </a:ln>
        <a:effectLst/>
      </c:spPr>
    </c:title>
    <c:autoTitleDeleted val="0"/>
    <c:plotArea>
      <c:layout>
        <c:manualLayout>
          <c:layoutTarget val="inner"/>
          <c:xMode val="edge"/>
          <c:yMode val="edge"/>
          <c:x val="4.4116795687217006E-2"/>
          <c:y val="8.8099727572004169E-2"/>
          <c:w val="0.88709714826961972"/>
          <c:h val="0.64427557560997473"/>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explosion val="4"/>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91A9-4167-B6E8-734007DA3306}"/>
              </c:ext>
            </c:extLst>
          </c:dPt>
          <c:dLbls>
            <c:dLbl>
              <c:idx val="0"/>
              <c:tx>
                <c:rich>
                  <a:bodyPr/>
                  <a:lstStyle/>
                  <a:p>
                    <a:fld id="{58082E6C-6A2C-44D1-8FCE-C7E22B08E892}" type="VALUE">
                      <a:rPr lang="en-US"/>
                      <a:pPr/>
                      <a:t>[DEĞER]</a:t>
                    </a:fld>
                    <a:r>
                      <a:rPr lang="en-US" baseline="0"/>
                      <a:t>; 94,6%</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A9-4167-B6E8-734007DA3306}"/>
                </c:ext>
              </c:extLst>
            </c:dLbl>
            <c:dLbl>
              <c:idx val="1"/>
              <c:layout>
                <c:manualLayout>
                  <c:x val="-0.15832252100562902"/>
                  <c:y val="-6.3501350256914479E-3"/>
                </c:manualLayout>
              </c:layout>
              <c:tx>
                <c:rich>
                  <a:bodyPr/>
                  <a:lstStyle/>
                  <a:p>
                    <a:fld id="{344A5E66-32C4-408F-B63A-0106EDD7ADD2}" type="VALUE">
                      <a:rPr lang="en-US"/>
                      <a:pPr/>
                      <a:t>[DEĞER]</a:t>
                    </a:fld>
                    <a:r>
                      <a:rPr lang="en-US" baseline="0"/>
                      <a:t>; 2,7%</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A9-4167-B6E8-734007DA3306}"/>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1A9-4167-B6E8-734007DA3306}"/>
                </c:ext>
              </c:extLst>
            </c:dLbl>
            <c:dLbl>
              <c:idx val="3"/>
              <c:tx>
                <c:rich>
                  <a:bodyPr/>
                  <a:lstStyle/>
                  <a:p>
                    <a:fld id="{459ED798-A824-41AC-8B96-9A9A2B839EF9}" type="VALUE">
                      <a:rPr lang="en-US"/>
                      <a:pPr/>
                      <a:t>[DEĞER]</a:t>
                    </a:fld>
                    <a:r>
                      <a:rPr lang="en-US" baseline="0"/>
                      <a:t>; 0,2%</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1A9-4167-B6E8-734007DA3306}"/>
                </c:ext>
              </c:extLst>
            </c:dLbl>
            <c:dLbl>
              <c:idx val="4"/>
              <c:tx>
                <c:rich>
                  <a:bodyPr/>
                  <a:lstStyle/>
                  <a:p>
                    <a:r>
                      <a:rPr lang="en-US"/>
                      <a:t>244; 2,7%</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1A9-4167-B6E8-734007DA3306}"/>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0A-91A9-4167-B6E8-734007DA3306}"/>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91A9-4167-B6E8-734007DA330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15-91A9-4167-B6E8-734007DA3306}"/>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91A9-4167-B6E8-734007DA330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20-91A9-4167-B6E8-734007DA3306}"/>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91A9-4167-B6E8-734007DA330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2B-91A9-4167-B6E8-734007DA3306}"/>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91A9-4167-B6E8-734007DA330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36-91A9-4167-B6E8-734007DA3306}"/>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91A9-4167-B6E8-734007DA330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41-91A9-4167-B6E8-734007DA3306}"/>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91A9-4167-B6E8-734007DA330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4C-91A9-4167-B6E8-734007DA3306}"/>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91A9-4167-B6E8-734007DA330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57-91A9-4167-B6E8-734007DA3306}"/>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91A9-4167-B6E8-734007DA330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91A9-4167-B6E8-734007DA3306}"/>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91A9-4167-B6E8-734007DA330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91A9-4167-B6E8-734007DA3306}"/>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91A9-4167-B6E8-734007DA3306}"/>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8306</c:v>
                </c:pt>
                <c:pt idx="1">
                  <c:v>232</c:v>
                </c:pt>
                <c:pt idx="2">
                  <c:v>222</c:v>
                </c:pt>
                <c:pt idx="3" formatCode="General">
                  <c:v>22</c:v>
                </c:pt>
              </c:numCache>
            </c:numRef>
          </c:val>
          <c:extLst>
            <c:ext xmlns:c16="http://schemas.microsoft.com/office/drawing/2014/chart" uri="{C3380CC4-5D6E-409C-BE32-E72D297353CC}">
              <c16:uniqueId val="{00000062-91A9-4167-B6E8-734007DA3306}"/>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4.2540399144879233E-2"/>
          <c:y val="0.76288475304223335"/>
          <c:w val="0.89394324866221386"/>
          <c:h val="0.1661355285134812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1870858799992827E-2"/>
          <c:y val="0.14728075155668341"/>
          <c:w val="0.87752950583163858"/>
          <c:h val="0.55465423401022262"/>
        </c:manualLayout>
      </c:layout>
      <c:bar3DChart>
        <c:barDir val="col"/>
        <c:grouping val="cluster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654</c:v>
                </c:pt>
                <c:pt idx="1">
                  <c:v>7652</c:v>
                </c:pt>
              </c:numCache>
            </c:numRef>
          </c:val>
          <c:extLst>
            <c:ext xmlns:c16="http://schemas.microsoft.com/office/drawing/2014/chart" uri="{C3380CC4-5D6E-409C-BE32-E72D297353CC}">
              <c16:uniqueId val="{00000000-9E01-4956-83ED-FF19ADF2C7F5}"/>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01-4956-83ED-FF19ADF2C7F5}"/>
                </c:ext>
              </c:extLst>
            </c:dLbl>
            <c:dLbl>
              <c:idx val="1"/>
              <c:layout>
                <c:manualLayout>
                  <c:x val="-0.12486064659977704"/>
                  <c:y val="-8.5470085470085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7F-49E5-8ABC-2E826CD0894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23</c:v>
                </c:pt>
                <c:pt idx="1">
                  <c:v>199</c:v>
                </c:pt>
              </c:numCache>
            </c:numRef>
          </c:val>
          <c:extLst>
            <c:ext xmlns:c16="http://schemas.microsoft.com/office/drawing/2014/chart" uri="{C3380CC4-5D6E-409C-BE32-E72D297353CC}">
              <c16:uniqueId val="{00000002-9E01-4956-83ED-FF19ADF2C7F5}"/>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01-4956-83ED-FF19ADF2C7F5}"/>
                </c:ext>
              </c:extLst>
            </c:dLbl>
            <c:dLbl>
              <c:idx val="1"/>
              <c:layout>
                <c:manualLayout>
                  <c:x val="-8.6956521739130516E-2"/>
                  <c:y val="-5.1643672746034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01-4956-83ED-FF19ADF2C7F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0</c:formatCode>
                <c:ptCount val="2"/>
                <c:pt idx="0" formatCode="General">
                  <c:v>3</c:v>
                </c:pt>
                <c:pt idx="1">
                  <c:v>19</c:v>
                </c:pt>
              </c:numCache>
            </c:numRef>
          </c:val>
          <c:extLst>
            <c:ext xmlns:c16="http://schemas.microsoft.com/office/drawing/2014/chart" uri="{C3380CC4-5D6E-409C-BE32-E72D297353CC}">
              <c16:uniqueId val="{00000005-9E01-4956-83ED-FF19ADF2C7F5}"/>
            </c:ext>
          </c:extLst>
        </c:ser>
        <c:dLbls>
          <c:showLegendKey val="0"/>
          <c:showVal val="1"/>
          <c:showCatName val="0"/>
          <c:showSerName val="0"/>
          <c:showPercent val="0"/>
          <c:showBubbleSize val="0"/>
        </c:dLbls>
        <c:gapWidth val="150"/>
        <c:shape val="box"/>
        <c:axId val="115389184"/>
        <c:axId val="115390720"/>
        <c:axId val="0"/>
      </c:bar3D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800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2000"/>
      </c:valAx>
    </c:plotArea>
    <c:legend>
      <c:legendPos val="b"/>
      <c:layout>
        <c:manualLayout>
          <c:xMode val="edge"/>
          <c:yMode val="edge"/>
          <c:x val="2.3525403695399003E-2"/>
          <c:y val="0.8390882718607543"/>
          <c:w val="0.69826315188862254"/>
          <c:h val="7.906050205262803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1870826491516147"/>
          <c:y val="4.6241048123832167E-2"/>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CC1A-4532-B999-0F4F0B1B5FB5}"/>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C1A-4532-B999-0F4F0B1B5FB5}"/>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CC1A-4532-B999-0F4F0B1B5FB5}"/>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C1A-4532-B999-0F4F0B1B5FB5}"/>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CC1A-4532-B999-0F4F0B1B5FB5}"/>
              </c:ext>
            </c:extLst>
          </c:dPt>
          <c:dLbls>
            <c:dLbl>
              <c:idx val="0"/>
              <c:tx>
                <c:rich>
                  <a:bodyPr/>
                  <a:lstStyle/>
                  <a:p>
                    <a:fld id="{7812B557-515F-4868-A2DD-1485F0F37433}" type="VALUE">
                      <a:rPr lang="en-US"/>
                      <a:pPr/>
                      <a:t>[DEĞER]</a:t>
                    </a:fld>
                    <a:r>
                      <a:rPr lang="en-US" baseline="0"/>
                      <a:t>; 94%</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C1A-4532-B999-0F4F0B1B5FB5}"/>
                </c:ext>
              </c:extLst>
            </c:dLbl>
            <c:dLbl>
              <c:idx val="1"/>
              <c:delete val="1"/>
              <c:extLst>
                <c:ext xmlns:c15="http://schemas.microsoft.com/office/drawing/2012/chart" uri="{CE6537A1-D6FC-4f65-9D91-7224C49458BB}"/>
                <c:ext xmlns:c16="http://schemas.microsoft.com/office/drawing/2014/chart" uri="{C3380CC4-5D6E-409C-BE32-E72D297353CC}">
                  <c16:uniqueId val="{00000003-CC1A-4532-B999-0F4F0B1B5FB5}"/>
                </c:ext>
              </c:extLst>
            </c:dLbl>
            <c:dLbl>
              <c:idx val="2"/>
              <c:layout>
                <c:manualLayout>
                  <c:x val="-0.10464676290463711"/>
                  <c:y val="-5.0925925925925923E-2"/>
                </c:manualLayout>
              </c:layout>
              <c:tx>
                <c:rich>
                  <a:bodyPr/>
                  <a:lstStyle/>
                  <a:p>
                    <a:fld id="{6F292B52-AB4C-4C81-BB15-127EC3E26708}" type="VALUE">
                      <a:rPr lang="en-US"/>
                      <a:pPr/>
                      <a:t>[DEĞER]</a:t>
                    </a:fld>
                    <a:r>
                      <a:rPr lang="en-US" baseline="0"/>
                      <a:t>; 0,2%</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C1A-4532-B999-0F4F0B1B5FB5}"/>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C1A-4532-B999-0F4F0B1B5FB5}"/>
                </c:ext>
              </c:extLst>
            </c:dLbl>
            <c:dLbl>
              <c:idx val="4"/>
              <c:tx>
                <c:rich>
                  <a:bodyPr/>
                  <a:lstStyle/>
                  <a:p>
                    <a:r>
                      <a:rPr lang="en-US"/>
                      <a:t>535, 6%</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C1A-4532-B999-0F4F0B1B5FB5}"/>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8247</c:v>
                </c:pt>
                <c:pt idx="2">
                  <c:v>22</c:v>
                </c:pt>
                <c:pt idx="3" formatCode="0">
                  <c:v>511</c:v>
                </c:pt>
              </c:numCache>
            </c:numRef>
          </c:val>
          <c:extLst>
            <c:ext xmlns:c16="http://schemas.microsoft.com/office/drawing/2014/chart" uri="{C3380CC4-5D6E-409C-BE32-E72D297353CC}">
              <c16:uniqueId val="{0000000A-CC1A-4532-B999-0F4F0B1B5FB5}"/>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955952413164849"/>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7580927384077065E-2"/>
          <c:y val="0.2083760683760684"/>
          <c:w val="0.88186351706036759"/>
          <c:h val="0.58154357628373354"/>
        </c:manualLayout>
      </c:layout>
      <c:bar3DChart>
        <c:barDir val="col"/>
        <c:grouping val="cluster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9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78-44B1-90E4-959788338BFE}"/>
                </c:ext>
              </c:extLst>
            </c:dLbl>
            <c:dLbl>
              <c:idx val="1"/>
              <c:layout>
                <c:manualLayout>
                  <c:x val="0.17608251229902777"/>
                  <c:y val="3.007183998395624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78-44B1-90E4-959788338BF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9</c:v>
                </c:pt>
                <c:pt idx="1">
                  <c:v>35</c:v>
                </c:pt>
              </c:numCache>
            </c:numRef>
          </c:val>
          <c:extLst>
            <c:ext xmlns:c16="http://schemas.microsoft.com/office/drawing/2014/chart" uri="{C3380CC4-5D6E-409C-BE32-E72D297353CC}">
              <c16:uniqueId val="{00000002-1D78-44B1-90E4-959788338BFE}"/>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78-44B1-90E4-959788338BFE}"/>
                </c:ext>
              </c:extLst>
            </c:dLbl>
            <c:dLbl>
              <c:idx val="1"/>
              <c:layout>
                <c:manualLayout>
                  <c:x val="0.13223140495867769"/>
                  <c:y val="-0.1118669690098260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78-44B1-90E4-959788338BF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13</c:v>
                </c:pt>
                <c:pt idx="1">
                  <c:v>187</c:v>
                </c:pt>
              </c:numCache>
            </c:numRef>
          </c:val>
          <c:extLst>
            <c:ext xmlns:c16="http://schemas.microsoft.com/office/drawing/2014/chart" uri="{C3380CC4-5D6E-409C-BE32-E72D297353CC}">
              <c16:uniqueId val="{00000005-1D78-44B1-90E4-959788338BFE}"/>
            </c:ext>
          </c:extLst>
        </c:ser>
        <c:dLbls>
          <c:showLegendKey val="0"/>
          <c:showVal val="1"/>
          <c:showCatName val="0"/>
          <c:showSerName val="0"/>
          <c:showPercent val="0"/>
          <c:showBubbleSize val="0"/>
        </c:dLbls>
        <c:gapWidth val="150"/>
        <c:shape val="box"/>
        <c:axId val="115582848"/>
        <c:axId val="115584384"/>
        <c:axId val="0"/>
      </c:bar3DChart>
      <c:catAx>
        <c:axId val="115582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584384"/>
        <c:crosses val="autoZero"/>
        <c:auto val="1"/>
        <c:lblAlgn val="ctr"/>
        <c:lblOffset val="100"/>
        <c:noMultiLvlLbl val="0"/>
      </c:catAx>
      <c:valAx>
        <c:axId val="115584384"/>
        <c:scaling>
          <c:orientation val="minMax"/>
          <c:max val="25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582848"/>
        <c:crosses val="autoZero"/>
        <c:crossBetween val="between"/>
        <c:majorUnit val="50"/>
      </c:valAx>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8A93-43F9-A1BB-A43E96776109}"/>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8A93-43F9-A1BB-A43E96776109}"/>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8A93-43F9-A1BB-A43E96776109}"/>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8A93-43F9-A1BB-A43E96776109}"/>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8A93-43F9-A1BB-A43E96776109}"/>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8A93-43F9-A1BB-A43E96776109}"/>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8A93-43F9-A1BB-A43E96776109}"/>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8A93-43F9-A1BB-A43E96776109}"/>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8A93-43F9-A1BB-A43E96776109}"/>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8A93-43F9-A1BB-A43E96776109}"/>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A93-43F9-A1BB-A43E96776109}"/>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A93-43F9-A1BB-A43E967761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GRAFİKLER!$B$63:$B$67</c:f>
              <c:strCache>
                <c:ptCount val="5"/>
                <c:pt idx="0">
                  <c:v>HAZIR BETON DIŞINDAKİ YAPI MALZEMELERİ </c:v>
                </c:pt>
                <c:pt idx="1">
                  <c:v>BİYOSİDAL ÜRÜNLER (TİP 1 VE TİP 19 HARİÇ)</c:v>
                </c:pt>
                <c:pt idx="2">
                  <c:v>HAZIR BETON</c:v>
                </c:pt>
                <c:pt idx="3">
                  <c:v>BİYOSİDAL ÜRÜNLER (TİP 1 VE TİP 19)</c:v>
                </c:pt>
                <c:pt idx="4">
                  <c:v>KIRTASİYE</c:v>
                </c:pt>
              </c:strCache>
            </c:strRef>
          </c:cat>
          <c:val>
            <c:numRef>
              <c:f>GRAFİKLER!$C$63:$C$67</c:f>
              <c:numCache>
                <c:formatCode>0.00</c:formatCode>
                <c:ptCount val="5"/>
                <c:pt idx="0">
                  <c:v>40.090090090090094</c:v>
                </c:pt>
                <c:pt idx="1">
                  <c:v>19.36936936936937</c:v>
                </c:pt>
                <c:pt idx="2">
                  <c:v>17.567567567567568</c:v>
                </c:pt>
                <c:pt idx="3">
                  <c:v>11.711711711711711</c:v>
                </c:pt>
                <c:pt idx="4">
                  <c:v>9.0090090090090094</c:v>
                </c:pt>
              </c:numCache>
            </c:numRef>
          </c:val>
          <c:extLst>
            <c:ext xmlns:c16="http://schemas.microsoft.com/office/drawing/2014/chart" uri="{C3380CC4-5D6E-409C-BE32-E72D297353CC}">
              <c16:uniqueId val="{00000014-8A93-43F9-A1BB-A43E96776109}"/>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996-4251-9683-EF93A1A2A0A9}"/>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996-4251-9683-EF93A1A2A0A9}"/>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F996-4251-9683-EF93A1A2A0A9}"/>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F996-4251-9683-EF93A1A2A0A9}"/>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F996-4251-9683-EF93A1A2A0A9}"/>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F996-4251-9683-EF93A1A2A0A9}"/>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F996-4251-9683-EF93A1A2A0A9}"/>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F996-4251-9683-EF93A1A2A0A9}"/>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996-4251-9683-EF93A1A2A0A9}"/>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F996-4251-9683-EF93A1A2A0A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GRAFİKLER!$B$77:$B$78</c:f>
              <c:strCache>
                <c:ptCount val="2"/>
                <c:pt idx="0">
                  <c:v>KIRTASİYE </c:v>
                </c:pt>
                <c:pt idx="1">
                  <c:v>HAZIR BETON DIŞINDAKİ 
YAPI MALZEMELERİ</c:v>
                </c:pt>
              </c:strCache>
            </c:strRef>
          </c:cat>
          <c:val>
            <c:numRef>
              <c:f>GRAFİKLER!$C$77:$C$78</c:f>
              <c:numCache>
                <c:formatCode>General</c:formatCode>
                <c:ptCount val="2"/>
                <c:pt idx="0">
                  <c:v>86.956521739130437</c:v>
                </c:pt>
                <c:pt idx="1">
                  <c:v>8.695652173913043</c:v>
                </c:pt>
              </c:numCache>
            </c:numRef>
          </c:val>
          <c:extLst>
            <c:ext xmlns:c16="http://schemas.microsoft.com/office/drawing/2014/chart" uri="{C3380CC4-5D6E-409C-BE32-E72D297353CC}">
              <c16:uniqueId val="{00000011-F996-4251-9683-EF93A1A2A0A9}"/>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58528991736294966"/>
          <c:w val="0.19023179438152021"/>
          <c:h val="0.4147100826370502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E1CD-4909-82EC-E1ABF969C959}"/>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E1CD-4909-82EC-E1ABF969C959}"/>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E1CD-4909-82EC-E1ABF969C959}"/>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E1CD-4909-82EC-E1ABF969C959}"/>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E1CD-4909-82EC-E1ABF969C959}"/>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E1CD-4909-82EC-E1ABF969C959}"/>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E1CD-4909-82EC-E1ABF969C959}"/>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E1CD-4909-82EC-E1ABF969C959}"/>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E1CD-4909-82EC-E1ABF969C959}"/>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E1CD-4909-82EC-E1ABF969C959}"/>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1CD-4909-82EC-E1ABF969C959}"/>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1CD-4909-82EC-E1ABF969C959}"/>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1CD-4909-82EC-E1ABF969C9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GRAFİKLER!$B$91:$B$93</c:f>
              <c:strCache>
                <c:ptCount val="3"/>
                <c:pt idx="0">
                  <c:v>KİŞİSEL KORUYUCU DONANIMLAR</c:v>
                </c:pt>
                <c:pt idx="1">
                  <c:v>HAZIR BETON</c:v>
                </c:pt>
                <c:pt idx="2">
                  <c:v>OYUNCAKLAR</c:v>
                </c:pt>
              </c:strCache>
            </c:strRef>
          </c:cat>
          <c:val>
            <c:numRef>
              <c:f>GRAFİKLER!$C$91:$C$93</c:f>
              <c:numCache>
                <c:formatCode>General</c:formatCode>
                <c:ptCount val="3"/>
                <c:pt idx="0">
                  <c:v>45.454545454545453</c:v>
                </c:pt>
                <c:pt idx="1">
                  <c:v>40.909090909090907</c:v>
                </c:pt>
                <c:pt idx="2">
                  <c:v>13.636363636363637</c:v>
                </c:pt>
              </c:numCache>
            </c:numRef>
          </c:val>
          <c:extLst>
            <c:ext xmlns:c16="http://schemas.microsoft.com/office/drawing/2014/chart" uri="{C3380CC4-5D6E-409C-BE32-E72D297353CC}">
              <c16:uniqueId val="{00000012-E1CD-4909-82EC-E1ABF969C959}"/>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6807274090738652E-3"/>
          <c:y val="0.42390156358660291"/>
          <c:w val="0.26150168728908885"/>
          <c:h val="0.5760984364133970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0.31026</cdr:x>
      <cdr:y>0.80966</cdr:y>
    </cdr:from>
    <cdr:to>
      <cdr:x>0.59395</cdr:x>
      <cdr:y>0.90774</cdr:y>
    </cdr:to>
    <cdr:sp macro="" textlink="">
      <cdr:nvSpPr>
        <cdr:cNvPr id="2" name="Metin kutusu 1"/>
        <cdr:cNvSpPr txBox="1"/>
      </cdr:nvSpPr>
      <cdr:spPr>
        <a:xfrm xmlns:a="http://schemas.openxmlformats.org/drawingml/2006/main">
          <a:off x="1752469" y="3393306"/>
          <a:ext cx="1602373" cy="411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0.32546</cdr:x>
      <cdr:y>0.829</cdr:y>
    </cdr:from>
    <cdr:to>
      <cdr:x>0.33356</cdr:x>
      <cdr:y>0.83991</cdr:y>
    </cdr:to>
    <cdr:sp macro="" textlink="">
      <cdr:nvSpPr>
        <cdr:cNvPr id="3" name="Dikdörtgen 2"/>
        <cdr:cNvSpPr/>
      </cdr:nvSpPr>
      <cdr:spPr>
        <a:xfrm xmlns:a="http://schemas.openxmlformats.org/drawingml/2006/main" flipV="1">
          <a:off x="1838324" y="3474338"/>
          <a:ext cx="45719" cy="45719"/>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8F48-E669-4681-BE05-8AB0EAF7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Sezen LEVENTOĞLU</cp:lastModifiedBy>
  <cp:revision>2</cp:revision>
  <cp:lastPrinted>2019-04-25T08:34:00Z</cp:lastPrinted>
  <dcterms:created xsi:type="dcterms:W3CDTF">2021-08-04T08:22:00Z</dcterms:created>
  <dcterms:modified xsi:type="dcterms:W3CDTF">2021-08-04T08:22:00Z</dcterms:modified>
</cp:coreProperties>
</file>